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560"/>
        <w:rPr>
          <w:rFonts w:ascii="华文中宋" w:hAnsi="华文中宋" w:eastAsia="华文中宋" w:cs="宋体"/>
          <w:b/>
          <w:kern w:val="0"/>
          <w:sz w:val="52"/>
          <w:szCs w:val="52"/>
        </w:rPr>
      </w:pPr>
      <w:r>
        <w:rPr>
          <w:rFonts w:hint="eastAsia"/>
        </w:rPr>
        <w:br w:type="textWrapping"/>
      </w:r>
    </w:p>
    <w:p>
      <w:pPr>
        <w:ind w:firstLine="1044"/>
        <w:rPr>
          <w:rFonts w:ascii="华文中宋" w:hAnsi="华文中宋" w:eastAsia="华文中宋" w:cs="宋体"/>
          <w:b/>
          <w:kern w:val="0"/>
          <w:sz w:val="52"/>
          <w:szCs w:val="52"/>
        </w:rPr>
      </w:pPr>
    </w:p>
    <w:p>
      <w:pPr>
        <w:ind w:firstLine="0" w:firstLineChars="0"/>
        <w:jc w:val="center"/>
        <w:rPr>
          <w:rFonts w:ascii="华文中宋" w:hAnsi="华文中宋" w:eastAsia="华文中宋" w:cs="宋体"/>
          <w:b/>
          <w:kern w:val="0"/>
          <w:sz w:val="52"/>
          <w:szCs w:val="52"/>
        </w:rPr>
      </w:pPr>
    </w:p>
    <w:p>
      <w:pPr>
        <w:spacing w:line="600" w:lineRule="exact"/>
        <w:ind w:firstLine="0" w:firstLineChars="0"/>
        <w:jc w:val="center"/>
        <w:rPr>
          <w:rFonts w:hint="eastAsia"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阿克苏职业技术学院</w:t>
      </w:r>
    </w:p>
    <w:p>
      <w:pPr>
        <w:spacing w:line="600" w:lineRule="exact"/>
        <w:ind w:firstLine="0" w:firstLineChars="0"/>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lang w:val="en-US" w:eastAsia="zh-CN"/>
        </w:rPr>
        <w:t>部门单位</w:t>
      </w:r>
      <w:r>
        <w:rPr>
          <w:rFonts w:hint="eastAsia" w:ascii="方正小标宋_GBK" w:hAnsi="华文中宋" w:eastAsia="方正小标宋_GBK" w:cs="宋体"/>
          <w:kern w:val="0"/>
          <w:sz w:val="48"/>
          <w:szCs w:val="48"/>
        </w:rPr>
        <w:t>整体支出绩效自评报告</w:t>
      </w:r>
    </w:p>
    <w:p>
      <w:pPr>
        <w:ind w:firstLine="0" w:firstLineChars="0"/>
        <w:jc w:val="center"/>
        <w:rPr>
          <w:rFonts w:ascii="华文中宋" w:hAnsi="华文中宋" w:eastAsia="华文中宋" w:cs="宋体"/>
          <w:b/>
          <w:kern w:val="0"/>
          <w:sz w:val="52"/>
          <w:szCs w:val="52"/>
        </w:rPr>
      </w:pPr>
    </w:p>
    <w:p>
      <w:pPr>
        <w:ind w:firstLine="0" w:firstLineChars="0"/>
        <w:jc w:val="center"/>
        <w:rPr>
          <w:rFonts w:ascii="仿宋_GB2312" w:hAnsi="宋体" w:eastAsia="仿宋_GB2312" w:cs="宋体"/>
          <w:kern w:val="0"/>
          <w:sz w:val="36"/>
          <w:szCs w:val="36"/>
        </w:rPr>
      </w:pPr>
      <w:r>
        <w:rPr>
          <w:rFonts w:hint="eastAsia" w:ascii="仿宋_GB2312" w:hAnsi="宋体" w:eastAsia="仿宋_GB2312" w:cs="宋体"/>
          <w:kern w:val="0"/>
          <w:sz w:val="36"/>
          <w:szCs w:val="36"/>
        </w:rPr>
        <w:t>（2020年度</w:t>
      </w:r>
      <w:r>
        <w:rPr>
          <w:rFonts w:hint="eastAsia" w:ascii="仿宋_GB2312" w:hAnsi="Malgun Gothic Semilight" w:eastAsia="仿宋_GB2312" w:cs="Malgun Gothic Semilight"/>
          <w:kern w:val="0"/>
          <w:sz w:val="36"/>
          <w:szCs w:val="36"/>
        </w:rPr>
        <w:t>）</w:t>
      </w:r>
    </w:p>
    <w:p>
      <w:pPr>
        <w:ind w:firstLine="600"/>
        <w:jc w:val="center"/>
        <w:rPr>
          <w:rFonts w:hAnsi="宋体" w:eastAsia="仿宋_GB2312" w:cs="宋体"/>
          <w:kern w:val="0"/>
          <w:sz w:val="30"/>
          <w:szCs w:val="30"/>
        </w:rPr>
      </w:pPr>
    </w:p>
    <w:p>
      <w:pPr>
        <w:spacing w:line="540" w:lineRule="exact"/>
        <w:ind w:firstLine="600"/>
        <w:jc w:val="center"/>
        <w:rPr>
          <w:rFonts w:hAnsi="宋体" w:eastAsia="仿宋_GB2312" w:cs="宋体"/>
          <w:kern w:val="0"/>
          <w:sz w:val="30"/>
          <w:szCs w:val="30"/>
        </w:rPr>
      </w:pPr>
    </w:p>
    <w:p>
      <w:pPr>
        <w:spacing w:line="540" w:lineRule="exact"/>
        <w:ind w:firstLine="720"/>
        <w:jc w:val="center"/>
        <w:rPr>
          <w:rFonts w:ascii="方正小标宋_GBK" w:hAnsi="宋体" w:eastAsia="方正小标宋_GBK" w:cs="宋体"/>
          <w:kern w:val="0"/>
          <w:sz w:val="36"/>
          <w:szCs w:val="36"/>
        </w:rPr>
      </w:pPr>
    </w:p>
    <w:p>
      <w:pPr>
        <w:spacing w:line="540" w:lineRule="exact"/>
        <w:ind w:firstLine="720"/>
        <w:jc w:val="center"/>
        <w:rPr>
          <w:rFonts w:ascii="方正小标宋_GBK" w:hAnsi="宋体" w:eastAsia="方正小标宋_GBK" w:cs="宋体"/>
          <w:kern w:val="0"/>
          <w:sz w:val="36"/>
          <w:szCs w:val="36"/>
        </w:rPr>
      </w:pPr>
    </w:p>
    <w:p>
      <w:pPr>
        <w:spacing w:line="540" w:lineRule="exact"/>
        <w:ind w:firstLine="600"/>
        <w:jc w:val="center"/>
        <w:rPr>
          <w:rFonts w:hAnsi="宋体" w:eastAsia="仿宋_GB2312" w:cs="宋体"/>
          <w:kern w:val="0"/>
          <w:sz w:val="30"/>
          <w:szCs w:val="30"/>
        </w:rPr>
      </w:pPr>
    </w:p>
    <w:p>
      <w:pPr>
        <w:spacing w:line="540" w:lineRule="exact"/>
        <w:ind w:firstLine="600"/>
        <w:jc w:val="center"/>
        <w:rPr>
          <w:rFonts w:hAnsi="宋体" w:eastAsia="仿宋_GB2312" w:cs="宋体"/>
          <w:kern w:val="0"/>
          <w:sz w:val="30"/>
          <w:szCs w:val="30"/>
        </w:rPr>
      </w:pPr>
    </w:p>
    <w:p>
      <w:pPr>
        <w:spacing w:line="540" w:lineRule="exact"/>
        <w:ind w:firstLine="600"/>
        <w:rPr>
          <w:rFonts w:hAnsi="宋体" w:eastAsia="仿宋_GB2312" w:cs="宋体"/>
          <w:kern w:val="0"/>
          <w:sz w:val="30"/>
          <w:szCs w:val="30"/>
        </w:rPr>
      </w:pPr>
    </w:p>
    <w:p>
      <w:pPr>
        <w:spacing w:line="700" w:lineRule="exact"/>
        <w:ind w:firstLine="720"/>
        <w:jc w:val="left"/>
        <w:rPr>
          <w:rFonts w:hAnsi="宋体" w:eastAsia="仿宋_GB2312" w:cs="宋体"/>
          <w:kern w:val="0"/>
          <w:sz w:val="36"/>
          <w:szCs w:val="36"/>
        </w:rPr>
      </w:pPr>
    </w:p>
    <w:p>
      <w:pPr>
        <w:spacing w:line="600" w:lineRule="exact"/>
        <w:ind w:firstLine="720"/>
        <w:rPr>
          <w:rFonts w:ascii="黑体" w:hAnsi="黑体" w:eastAsia="黑体" w:cs="黑体"/>
          <w:bCs/>
          <w:sz w:val="36"/>
          <w:szCs w:val="36"/>
        </w:rPr>
      </w:pPr>
      <w:r>
        <w:rPr>
          <w:rFonts w:hint="eastAsia" w:ascii="黑体" w:hAnsi="黑体" w:eastAsia="黑体" w:cs="黑体"/>
          <w:bCs/>
          <w:sz w:val="36"/>
          <w:szCs w:val="36"/>
        </w:rPr>
        <w:t>部门单位名称（公章）：阿克苏职业技术学院</w:t>
      </w:r>
    </w:p>
    <w:p>
      <w:pPr>
        <w:spacing w:line="600" w:lineRule="exact"/>
        <w:ind w:firstLine="720"/>
        <w:rPr>
          <w:rFonts w:ascii="黑体" w:hAnsi="黑体" w:eastAsia="黑体" w:cs="黑体"/>
          <w:bCs/>
          <w:sz w:val="36"/>
          <w:szCs w:val="36"/>
        </w:rPr>
      </w:pPr>
      <w:r>
        <w:rPr>
          <w:rFonts w:hint="eastAsia" w:ascii="黑体" w:hAnsi="黑体" w:eastAsia="黑体" w:cs="黑体"/>
          <w:bCs/>
          <w:sz w:val="36"/>
          <w:szCs w:val="36"/>
        </w:rPr>
        <w:t>填报时间：2021年3月8日</w:t>
      </w:r>
    </w:p>
    <w:p>
      <w:pPr>
        <w:spacing w:line="700" w:lineRule="exact"/>
        <w:ind w:firstLine="849" w:firstLineChars="236"/>
        <w:jc w:val="left"/>
        <w:rPr>
          <w:rFonts w:hAnsi="宋体" w:eastAsia="仿宋_GB2312" w:cs="宋体"/>
          <w:kern w:val="0"/>
          <w:sz w:val="36"/>
          <w:szCs w:val="36"/>
        </w:rPr>
      </w:pPr>
    </w:p>
    <w:p>
      <w:pPr>
        <w:ind w:firstLine="560"/>
      </w:pPr>
    </w:p>
    <w:p>
      <w:pPr>
        <w:ind w:firstLine="560"/>
      </w:pPr>
      <w:r>
        <w:rPr>
          <w:rFonts w:hint="eastAsia"/>
        </w:rPr>
        <w:br w:type="page"/>
      </w:r>
    </w:p>
    <w:p>
      <w:pPr>
        <w:pStyle w:val="3"/>
        <w:ind w:firstLine="640"/>
        <w:rPr>
          <w:rFonts w:ascii="黑体" w:hAnsi="黑体"/>
          <w:b w:val="0"/>
          <w:sz w:val="32"/>
          <w:szCs w:val="32"/>
        </w:rPr>
      </w:pPr>
      <w:r>
        <w:rPr>
          <w:rFonts w:hint="eastAsia" w:ascii="黑体" w:hAnsi="黑体"/>
          <w:b w:val="0"/>
          <w:sz w:val="32"/>
          <w:szCs w:val="32"/>
        </w:rPr>
        <w:t>一、基本概况</w:t>
      </w:r>
    </w:p>
    <w:p>
      <w:pPr>
        <w:pStyle w:val="4"/>
        <w:ind w:firstLine="643"/>
        <w:rPr>
          <w:rFonts w:ascii="楷体_GB2312" w:eastAsia="楷体_GB2312"/>
          <w:szCs w:val="32"/>
        </w:rPr>
      </w:pPr>
      <w:r>
        <w:rPr>
          <w:rFonts w:hint="eastAsia" w:ascii="楷体_GB2312" w:eastAsia="楷体_GB2312"/>
          <w:szCs w:val="32"/>
        </w:rPr>
        <w:t>（一）单位基本情况</w:t>
      </w:r>
    </w:p>
    <w:p>
      <w:pPr>
        <w:ind w:firstLine="643"/>
        <w:rPr>
          <w:rFonts w:ascii="仿宋_GB2312" w:eastAsia="仿宋_GB2312"/>
          <w:b/>
          <w:bCs/>
          <w:sz w:val="32"/>
          <w:szCs w:val="32"/>
        </w:rPr>
      </w:pPr>
      <w:r>
        <w:rPr>
          <w:rFonts w:hint="eastAsia" w:ascii="仿宋_GB2312" w:eastAsia="仿宋_GB2312"/>
          <w:b/>
          <w:bCs/>
          <w:sz w:val="32"/>
          <w:szCs w:val="32"/>
        </w:rPr>
        <w:t>1.机构设置及人员情况</w:t>
      </w:r>
    </w:p>
    <w:p>
      <w:pPr>
        <w:ind w:firstLine="640"/>
        <w:rPr>
          <w:rFonts w:ascii="仿宋_GB2312" w:eastAsia="仿宋_GB2312"/>
          <w:sz w:val="32"/>
          <w:szCs w:val="32"/>
        </w:rPr>
      </w:pPr>
      <w:r>
        <w:rPr>
          <w:rFonts w:hint="eastAsia" w:ascii="仿宋_GB2312" w:eastAsia="仿宋_GB2312"/>
          <w:sz w:val="32"/>
          <w:szCs w:val="32"/>
        </w:rPr>
        <w:t>阿克苏职业技术学院无下属预算单位，下设10个党政管理机构：办公室、组织部（人事处）、宣传部（统战部）、学生工作部（学生处）、教务处、总务处、招生就业指导处、产学合作处、科研处、保卫处。12个教学及教辅机构：医学院、经济管理学院、机电工程学院、生物工程学院、信息工程学院、人文艺术学院、纺织工程学院、公共基础学院、马克思主义学院、本科教学部、继续教育中心、图书馆。</w:t>
      </w:r>
    </w:p>
    <w:p>
      <w:pPr>
        <w:ind w:firstLine="640"/>
        <w:rPr>
          <w:rFonts w:ascii="仿宋_GB2312" w:eastAsia="仿宋_GB2312"/>
          <w:sz w:val="32"/>
          <w:szCs w:val="32"/>
        </w:rPr>
      </w:pPr>
      <w:r>
        <w:rPr>
          <w:rFonts w:hint="eastAsia" w:ascii="仿宋_GB2312" w:eastAsia="仿宋_GB2312"/>
          <w:sz w:val="32"/>
          <w:szCs w:val="32"/>
        </w:rPr>
        <w:t>阿克苏职业技术学院编制数610人，实有人数851人，其中：在职537人，减少28人； 退休310人，增加19人；离休4人，增加0人。</w:t>
      </w:r>
    </w:p>
    <w:p>
      <w:pPr>
        <w:numPr>
          <w:ilvl w:val="0"/>
          <w:numId w:val="1"/>
        </w:numPr>
        <w:ind w:firstLine="643"/>
        <w:rPr>
          <w:rFonts w:ascii="仿宋_GB2312" w:eastAsia="仿宋_GB2312"/>
          <w:b/>
          <w:bCs/>
          <w:sz w:val="32"/>
          <w:szCs w:val="32"/>
        </w:rPr>
      </w:pPr>
      <w:r>
        <w:rPr>
          <w:rFonts w:hint="eastAsia" w:ascii="仿宋_GB2312" w:eastAsia="仿宋_GB2312"/>
          <w:b/>
          <w:bCs/>
          <w:sz w:val="32"/>
          <w:szCs w:val="32"/>
        </w:rPr>
        <w:t>主要职能</w:t>
      </w:r>
    </w:p>
    <w:p>
      <w:pPr>
        <w:ind w:firstLine="640"/>
        <w:rPr>
          <w:rFonts w:ascii="仿宋_GB2312" w:eastAsia="仿宋_GB2312"/>
          <w:sz w:val="32"/>
          <w:szCs w:val="32"/>
        </w:rPr>
      </w:pPr>
      <w:r>
        <w:rPr>
          <w:rFonts w:hint="eastAsia" w:ascii="仿宋_GB2312" w:eastAsia="仿宋_GB2312"/>
          <w:sz w:val="32"/>
          <w:szCs w:val="32"/>
        </w:rPr>
        <w:t>贯彻国家教育方针，执行国家教育教学标准，依据《中华人民共和国教育法》和《中华人民共和国职业教育法》开展职业中等专业学历教育和相关高等职业教育，提高教育教学质量和办学效益，培养以全面素质为基础、以能力为本位的高素质劳动者和中、初级专门人才。</w:t>
      </w:r>
    </w:p>
    <w:p>
      <w:pPr>
        <w:numPr>
          <w:ilvl w:val="0"/>
          <w:numId w:val="1"/>
        </w:numPr>
        <w:ind w:firstLine="643"/>
        <w:rPr>
          <w:rFonts w:ascii="仿宋_GB2312" w:eastAsia="仿宋_GB2312"/>
          <w:b/>
          <w:bCs/>
          <w:sz w:val="32"/>
          <w:szCs w:val="32"/>
        </w:rPr>
      </w:pPr>
      <w:r>
        <w:rPr>
          <w:rFonts w:hint="eastAsia" w:ascii="仿宋_GB2312" w:eastAsia="仿宋_GB2312"/>
          <w:b/>
          <w:bCs/>
          <w:sz w:val="32"/>
          <w:szCs w:val="32"/>
        </w:rPr>
        <w:t>年度重点工作计划</w:t>
      </w:r>
    </w:p>
    <w:p>
      <w:pPr>
        <w:ind w:firstLine="640"/>
        <w:rPr>
          <w:rFonts w:ascii="仿宋_GB2312" w:eastAsia="仿宋_GB2312"/>
          <w:sz w:val="32"/>
          <w:szCs w:val="32"/>
        </w:rPr>
      </w:pPr>
      <w:r>
        <w:rPr>
          <w:rFonts w:hint="eastAsia" w:ascii="仿宋_GB2312" w:eastAsia="仿宋_GB2312"/>
          <w:sz w:val="32"/>
          <w:szCs w:val="32"/>
        </w:rPr>
        <w:t>大力发展职业教育,积极开展职业技能培训。加大护理、学前教育、现代纺织技术和园艺技术等重点专业建设的力度、凝练特色专业的内涵，提升专业服务地方产业发展的能力。</w:t>
      </w:r>
    </w:p>
    <w:p>
      <w:pPr>
        <w:pStyle w:val="4"/>
        <w:tabs>
          <w:tab w:val="left" w:pos="6195"/>
        </w:tabs>
        <w:ind w:firstLine="643"/>
        <w:rPr>
          <w:rFonts w:ascii="楷体_GB2312" w:eastAsia="楷体_GB2312"/>
          <w:szCs w:val="32"/>
        </w:rPr>
      </w:pPr>
      <w:r>
        <w:rPr>
          <w:rFonts w:hint="eastAsia" w:ascii="楷体_GB2312" w:eastAsia="楷体_GB2312"/>
          <w:szCs w:val="32"/>
        </w:rPr>
        <w:t>（二）单位决策机制</w:t>
      </w:r>
      <w:r>
        <w:rPr>
          <w:rFonts w:ascii="楷体_GB2312" w:eastAsia="楷体_GB2312"/>
          <w:szCs w:val="32"/>
        </w:rPr>
        <w:tab/>
      </w:r>
    </w:p>
    <w:p>
      <w:pPr>
        <w:ind w:firstLine="640"/>
        <w:rPr>
          <w:rFonts w:ascii="仿宋_GB2312" w:eastAsia="仿宋_GB2312"/>
          <w:sz w:val="32"/>
          <w:szCs w:val="32"/>
        </w:rPr>
      </w:pPr>
      <w:r>
        <w:rPr>
          <w:rFonts w:hint="eastAsia" w:ascii="仿宋_GB2312" w:eastAsia="仿宋_GB2312"/>
          <w:sz w:val="32"/>
          <w:szCs w:val="32"/>
        </w:rPr>
        <w:t>我单位决策机制根据行政事业单位内部控制体系建设相关要求，逐步完善《中共阿克苏职业技术学院委员会议事规则（试行）》“学院党委委员会议讨论、研究和决定重大事项，按照集体领导、民主集中、个别酝酿、会议决定的要求，严格遵循以下原则：（一）依法办事原则。学院党委委员会议形成的决议，必须符合党的路线、方针、政策和国家法律、法规；（二）集体决策原则。学院党委委员会议必须进行集体讨论和表决，不得以传阅、会签或个别征求意见等形式代替；（三）相互平等原则。学院党委各成员之间是平等关系，都有充分发表个人意见的权利和责任。表决时，实行一人一票制；（四）少数服从多数原则。学院党委委员会议集体研究问题、集体决策，必须经过充分讨论，坚持少数服从多数”、《阿克苏职业技术学院院长办公会议事规则（试行）》“院长办公会议议事决策应当坚持集体领导、民主集中、个别酝酿、会议决定，重大决策应当充分协商，实行科学决策、民主决策、依法决策。院长办公会议讨论决定的事项，一般应当在调查研究基础上提出方案，充分听取各方面意见，进行风险评估和合法合规性审查，经过集体讨论决定。院长办公会议实行逐项表决。行政领导班子成员对审议事项充分发表意见后，院长或院长委托的会议主持人根据讨论情况，决定是否进入表决程序。表决时行政领导班子成员一人一票，可以采用口头、举手、无记名投票或记名投票等方式进行，赞成票超过应到会行政领导班子成员半数为通过，未到会行政领导班子成员书面意见不得计入票数”、《阿克苏职业技术学院财经领导小组议事规则（试行）》“财经领导小组实行集体民主决策的议事规则，在讨论相关财经工作具体事项时，到会人数必须超过领导小组成员的三分之二。按照财经领导小组成员顺序由后及前依次发表意见，最后由组长统一意见后作出决议，决议应由到会三分之二以上人数通过。讨论重大事项无法直接统一意见时，按投票表决方式决定，超过领导小组到会人数半数时方可形成决议”。</w:t>
      </w:r>
    </w:p>
    <w:p>
      <w:pPr>
        <w:pStyle w:val="4"/>
        <w:numPr>
          <w:ilvl w:val="0"/>
          <w:numId w:val="2"/>
        </w:numPr>
        <w:ind w:firstLine="643"/>
        <w:rPr>
          <w:rFonts w:ascii="楷体_GB2312" w:eastAsia="楷体_GB2312"/>
          <w:szCs w:val="32"/>
        </w:rPr>
      </w:pPr>
      <w:r>
        <w:rPr>
          <w:rFonts w:hint="eastAsia" w:ascii="楷体_GB2312" w:eastAsia="楷体_GB2312"/>
          <w:szCs w:val="32"/>
        </w:rPr>
        <w:t>单位资金分配情况</w:t>
      </w:r>
    </w:p>
    <w:p>
      <w:pPr>
        <w:widowControl/>
        <w:ind w:firstLine="643"/>
        <w:jc w:val="left"/>
        <w:rPr>
          <w:rFonts w:ascii="仿宋_GB2312" w:eastAsia="仿宋_GB2312" w:cs="仿宋"/>
          <w:color w:val="FF0000"/>
          <w:sz w:val="32"/>
          <w:szCs w:val="32"/>
        </w:rPr>
      </w:pPr>
      <w:r>
        <w:rPr>
          <w:rFonts w:hint="eastAsia" w:ascii="仿宋_GB2312" w:eastAsia="仿宋_GB2312" w:cs="仿宋"/>
          <w:b/>
          <w:sz w:val="32"/>
          <w:szCs w:val="32"/>
        </w:rPr>
        <w:t>1.分配依据及结果。</w:t>
      </w:r>
      <w:r>
        <w:rPr>
          <w:rFonts w:hint="eastAsia" w:ascii="仿宋_GB2312" w:eastAsia="仿宋_GB2312" w:cs="仿宋"/>
          <w:sz w:val="32"/>
          <w:szCs w:val="32"/>
        </w:rPr>
        <w:t>基本支出根据单位人员编制、实有人数、资产情况等要素进行预算编制；项目支出根据单位工作职能，年度计划等要素进行预算编制。预算批复后，严格按照财政部门批复的预算和绩效目标执行。</w:t>
      </w:r>
    </w:p>
    <w:p>
      <w:pPr>
        <w:widowControl/>
        <w:ind w:firstLine="643"/>
        <w:jc w:val="left"/>
        <w:rPr>
          <w:rFonts w:ascii="仿宋_GB2312" w:eastAsia="仿宋_GB2312" w:cs="仿宋"/>
          <w:color w:val="FF0000"/>
          <w:sz w:val="32"/>
          <w:szCs w:val="32"/>
        </w:rPr>
      </w:pPr>
      <w:r>
        <w:rPr>
          <w:rFonts w:hint="eastAsia" w:ascii="仿宋_GB2312" w:eastAsia="仿宋_GB2312" w:cs="仿宋"/>
          <w:b/>
          <w:sz w:val="32"/>
          <w:szCs w:val="32"/>
        </w:rPr>
        <w:t>2.</w:t>
      </w:r>
      <w:r>
        <w:rPr>
          <w:rFonts w:hint="eastAsia" w:ascii="仿宋_GB2312" w:eastAsia="仿宋_GB2312"/>
          <w:b/>
          <w:sz w:val="32"/>
          <w:szCs w:val="32"/>
        </w:rPr>
        <w:t>重点支出保障情况。</w:t>
      </w:r>
      <w:r>
        <w:rPr>
          <w:rFonts w:hint="eastAsia" w:ascii="仿宋_GB2312" w:eastAsia="仿宋_GB2312" w:cs="仿宋"/>
          <w:sz w:val="32"/>
          <w:szCs w:val="32"/>
        </w:rPr>
        <w:t>本年度本单位预算安排的重点项目3个，预算安排的重点项目支出金额为1064.80万元，部门项目总支出金额为1064.80万元，则重点项目支出占项目总支出的比率为100%。</w:t>
      </w:r>
    </w:p>
    <w:p>
      <w:pPr>
        <w:pStyle w:val="4"/>
        <w:numPr>
          <w:ilvl w:val="0"/>
          <w:numId w:val="2"/>
        </w:numPr>
        <w:ind w:firstLine="643"/>
        <w:rPr>
          <w:rFonts w:ascii="楷体_GB2312" w:eastAsia="楷体_GB2312"/>
          <w:szCs w:val="32"/>
        </w:rPr>
      </w:pPr>
      <w:r>
        <w:rPr>
          <w:rFonts w:hint="eastAsia" w:ascii="楷体_GB2312" w:eastAsia="楷体_GB2312"/>
          <w:szCs w:val="32"/>
        </w:rPr>
        <w:t>部门单位整体支出规模、使用方法和主要内容、涉及范围</w:t>
      </w:r>
    </w:p>
    <w:p>
      <w:pPr>
        <w:numPr>
          <w:ilvl w:val="0"/>
          <w:numId w:val="3"/>
        </w:numPr>
        <w:ind w:firstLine="643"/>
        <w:rPr>
          <w:rFonts w:ascii="仿宋_GB2312" w:eastAsia="仿宋_GB2312"/>
          <w:b/>
          <w:bCs/>
          <w:sz w:val="32"/>
          <w:szCs w:val="32"/>
        </w:rPr>
      </w:pPr>
      <w:r>
        <w:rPr>
          <w:rFonts w:hint="eastAsia" w:ascii="仿宋_GB2312" w:eastAsia="仿宋_GB2312"/>
          <w:b/>
          <w:bCs/>
          <w:sz w:val="32"/>
          <w:szCs w:val="32"/>
        </w:rPr>
        <w:t>部门单位整体支出规模</w:t>
      </w:r>
    </w:p>
    <w:p>
      <w:pPr>
        <w:ind w:firstLine="640"/>
        <w:rPr>
          <w:rFonts w:ascii="仿宋_GB2312" w:eastAsia="仿宋_GB2312"/>
          <w:sz w:val="32"/>
          <w:szCs w:val="32"/>
        </w:rPr>
      </w:pPr>
      <w:r>
        <w:rPr>
          <w:rFonts w:hint="eastAsia" w:ascii="仿宋_GB2312" w:eastAsia="仿宋_GB2312"/>
          <w:sz w:val="32"/>
          <w:szCs w:val="32"/>
        </w:rPr>
        <w:t>2020年度，阿克苏职业技术学院部门单位整体支出年初预算金额为11124.15万元，支出金额为9438.74万元，执行率为84.8%，其中：政府采购年初预算金额为820万元，支出金额为441.24万元，执行率为53.8%。年中调整预算金额为10037.14万元，预算调整率为90.2%。综上，我单位部门单位整体预算总额为21161.29万元，支出总额为18383.61万元，预算总执行率为86.9%。</w:t>
      </w:r>
    </w:p>
    <w:p>
      <w:pPr>
        <w:pStyle w:val="2"/>
        <w:ind w:firstLine="643"/>
        <w:rPr>
          <w:sz w:val="32"/>
        </w:rPr>
      </w:pPr>
      <w:r>
        <w:rPr>
          <w:rFonts w:hint="eastAsia"/>
          <w:sz w:val="32"/>
        </w:rPr>
        <w:t>2.部门单位整体支出自评使用方法、主要内容、涉及范围</w:t>
      </w:r>
    </w:p>
    <w:p>
      <w:pPr>
        <w:ind w:firstLine="643"/>
        <w:rPr>
          <w:rFonts w:ascii="仿宋_GB2312" w:eastAsia="仿宋_GB2312"/>
          <w:b/>
          <w:bCs/>
          <w:sz w:val="32"/>
          <w:szCs w:val="32"/>
        </w:rPr>
      </w:pPr>
      <w:r>
        <w:rPr>
          <w:rFonts w:hint="eastAsia" w:ascii="仿宋_GB2312" w:eastAsia="仿宋_GB2312"/>
          <w:b/>
          <w:bCs/>
          <w:sz w:val="32"/>
          <w:szCs w:val="32"/>
        </w:rPr>
        <w:t>（1）自评使用方法</w:t>
      </w:r>
    </w:p>
    <w:p>
      <w:pPr>
        <w:ind w:firstLine="640"/>
        <w:rPr>
          <w:rFonts w:ascii="仿宋_GB2312" w:eastAsia="仿宋_GB2312"/>
          <w:sz w:val="32"/>
          <w:szCs w:val="32"/>
        </w:rPr>
      </w:pPr>
      <w:r>
        <w:rPr>
          <w:rFonts w:hint="eastAsia" w:ascii="仿宋_GB2312" w:eastAsia="仿宋_GB2312"/>
          <w:sz w:val="32"/>
          <w:szCs w:val="32"/>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pPr>
        <w:pStyle w:val="2"/>
        <w:ind w:firstLine="643"/>
        <w:rPr>
          <w:sz w:val="32"/>
        </w:rPr>
      </w:pPr>
      <w:r>
        <w:rPr>
          <w:rFonts w:hint="eastAsia"/>
          <w:sz w:val="32"/>
        </w:rPr>
        <w:t>（2）评价的主要内容和涉及范围</w:t>
      </w:r>
    </w:p>
    <w:p>
      <w:pPr>
        <w:ind w:firstLine="640"/>
        <w:rPr>
          <w:rFonts w:ascii="仿宋_GB2312" w:eastAsia="仿宋_GB2312"/>
          <w:sz w:val="32"/>
          <w:szCs w:val="32"/>
        </w:rPr>
      </w:pPr>
      <w:r>
        <w:rPr>
          <w:rFonts w:hint="eastAsia" w:ascii="仿宋_GB2312" w:eastAsia="仿宋_GB2312"/>
          <w:sz w:val="32"/>
          <w:szCs w:val="32"/>
        </w:rPr>
        <w:t>此次我单位根据《自治区党委 自治区人民政府关于全面实施预算绩效管理的实施意见》（新党发〔2018〕30号）及《项目支出绩效评价管理办法》（财预〔2020〕10号）等文件要求，对2020年度我单位部门整体支出开展绩效自评。本次自评主要内容和涉及范围：一是部门单位整体支出管理及使用情况，具体涉及预算管理、基本支出和专项支出的管理及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p>
    <w:p>
      <w:pPr>
        <w:pStyle w:val="3"/>
        <w:ind w:firstLine="640"/>
        <w:rPr>
          <w:rFonts w:ascii="黑体" w:hAnsi="黑体"/>
          <w:b w:val="0"/>
          <w:sz w:val="32"/>
          <w:szCs w:val="32"/>
        </w:rPr>
      </w:pPr>
      <w:r>
        <w:rPr>
          <w:rFonts w:hint="eastAsia" w:ascii="黑体" w:hAnsi="黑体"/>
          <w:b w:val="0"/>
          <w:sz w:val="32"/>
          <w:szCs w:val="32"/>
        </w:rPr>
        <w:t>二、部门单位整体支出管理及使用情况</w:t>
      </w:r>
    </w:p>
    <w:p>
      <w:pPr>
        <w:pStyle w:val="4"/>
        <w:numPr>
          <w:ilvl w:val="0"/>
          <w:numId w:val="4"/>
        </w:numPr>
        <w:ind w:firstLineChars="0"/>
        <w:rPr>
          <w:rFonts w:ascii="楷体_GB2312" w:eastAsia="楷体_GB2312"/>
          <w:szCs w:val="32"/>
        </w:rPr>
      </w:pPr>
      <w:r>
        <w:rPr>
          <w:rFonts w:hint="eastAsia" w:ascii="楷体_GB2312" w:eastAsia="楷体_GB2312"/>
          <w:bCs/>
          <w:szCs w:val="32"/>
        </w:rPr>
        <w:t>预算管理情况</w:t>
      </w:r>
    </w:p>
    <w:p>
      <w:pPr>
        <w:ind w:firstLine="640"/>
        <w:rPr>
          <w:rFonts w:ascii="仿宋_GB2312" w:eastAsia="仿宋_GB2312"/>
          <w:sz w:val="32"/>
          <w:szCs w:val="32"/>
        </w:rPr>
      </w:pPr>
      <w:r>
        <w:rPr>
          <w:rFonts w:hint="eastAsia" w:ascii="仿宋_GB2312" w:eastAsia="仿宋_GB2312"/>
          <w:sz w:val="32"/>
          <w:szCs w:val="32"/>
        </w:rPr>
        <w:t>我单位为加强预算管理、规范财务行为、加强内部控制体系建设，制定了《阿克苏职业技术学院预算管理办法》，并严格按照此管理办法管理使用预算资金，严格按照政府信息公开有关规定及财政部门要求公开相关预决算信息。</w:t>
      </w:r>
    </w:p>
    <w:p>
      <w:pPr>
        <w:pStyle w:val="4"/>
        <w:numPr>
          <w:ilvl w:val="0"/>
          <w:numId w:val="4"/>
        </w:numPr>
        <w:ind w:firstLineChars="0"/>
        <w:rPr>
          <w:rFonts w:ascii="楷体_GB2312" w:eastAsia="楷体_GB2312"/>
          <w:bCs/>
          <w:szCs w:val="32"/>
        </w:rPr>
      </w:pPr>
      <w:r>
        <w:rPr>
          <w:rFonts w:hint="eastAsia" w:ascii="楷体_GB2312" w:eastAsia="楷体_GB2312"/>
          <w:bCs/>
          <w:szCs w:val="32"/>
        </w:rPr>
        <w:t>基本支出预算安排及支出情况</w:t>
      </w:r>
    </w:p>
    <w:p>
      <w:pPr>
        <w:ind w:firstLine="643"/>
        <w:rPr>
          <w:rFonts w:ascii="仿宋_GB2312" w:eastAsia="仿宋_GB2312"/>
          <w:b/>
          <w:bCs/>
          <w:sz w:val="32"/>
          <w:szCs w:val="32"/>
        </w:rPr>
      </w:pPr>
      <w:r>
        <w:rPr>
          <w:rFonts w:hint="eastAsia" w:ascii="仿宋_GB2312" w:eastAsia="仿宋_GB2312"/>
          <w:b/>
          <w:bCs/>
          <w:sz w:val="32"/>
          <w:szCs w:val="32"/>
        </w:rPr>
        <w:t>1.基本支出情况</w:t>
      </w:r>
    </w:p>
    <w:p>
      <w:pPr>
        <w:ind w:firstLine="640"/>
        <w:rPr>
          <w:rFonts w:ascii="仿宋_GB2312" w:eastAsia="仿宋_GB2312"/>
          <w:sz w:val="32"/>
          <w:szCs w:val="32"/>
        </w:rPr>
      </w:pPr>
      <w:r>
        <w:rPr>
          <w:rFonts w:hint="eastAsia" w:ascii="仿宋_GB2312" w:eastAsia="仿宋_GB2312"/>
          <w:sz w:val="32"/>
          <w:szCs w:val="32"/>
        </w:rPr>
        <w:t>2020年，阿克苏职业技术学院基本支出年初预算金额为10059.35万元，支出金额为8765.50万元，执行率为87.1%，年中调整预算金额为246.13万元。综上，我单位基本支出预算总额为10305.48万元，支出总额为9011.63万元，预算总执行率为87.4%，其中人员经费8665.87万元，公用经费345.76万元。</w:t>
      </w:r>
    </w:p>
    <w:p>
      <w:pPr>
        <w:ind w:firstLine="643"/>
        <w:rPr>
          <w:rFonts w:ascii="仿宋_GB2312" w:eastAsia="仿宋_GB2312"/>
          <w:b/>
          <w:bCs/>
          <w:sz w:val="32"/>
          <w:szCs w:val="32"/>
        </w:rPr>
      </w:pPr>
      <w:r>
        <w:rPr>
          <w:rFonts w:hint="eastAsia" w:ascii="仿宋_GB2312" w:eastAsia="仿宋_GB2312"/>
          <w:b/>
          <w:bCs/>
          <w:sz w:val="32"/>
          <w:szCs w:val="32"/>
        </w:rPr>
        <w:t>2.“三公”经费情况</w:t>
      </w:r>
    </w:p>
    <w:p>
      <w:pPr>
        <w:ind w:firstLine="640"/>
        <w:rPr>
          <w:rFonts w:ascii="仿宋_GB2312" w:eastAsia="仿宋_GB2312"/>
          <w:sz w:val="32"/>
          <w:szCs w:val="32"/>
        </w:rPr>
      </w:pPr>
      <w:r>
        <w:rPr>
          <w:rFonts w:hint="eastAsia" w:ascii="仿宋_GB2312" w:eastAsia="仿宋_GB2312"/>
          <w:sz w:val="32"/>
          <w:szCs w:val="32"/>
        </w:rPr>
        <w:t>我单位认真贯彻落实中央关于厉行节约的有关规定，严格执行《党政机关厉行节约反对浪费条例》，2020年“三公”经费预算数为0万元，其中：因公出国（境）费0万元，公务用车购置及运行费0万元（其中公务用车购置为0万元），公务接待费0万元。</w:t>
      </w:r>
    </w:p>
    <w:p>
      <w:pPr>
        <w:ind w:firstLine="640"/>
        <w:rPr>
          <w:rFonts w:ascii="仿宋_GB2312" w:eastAsia="仿宋_GB2312"/>
          <w:sz w:val="32"/>
          <w:szCs w:val="32"/>
        </w:rPr>
      </w:pPr>
      <w:r>
        <w:rPr>
          <w:rFonts w:hint="eastAsia" w:ascii="仿宋_GB2312" w:eastAsia="仿宋_GB2312"/>
          <w:sz w:val="32"/>
          <w:szCs w:val="32"/>
        </w:rPr>
        <w:t>2020年，全年“三公”经费决算支出0万元，其中：因公出国（境）费用0万元、公务用车购置及运行费0万元（其中公务用车购置为0万元）、公务接待费0万元。较上年“三公”经费决算支出0万元，增加0万元，增长0%。</w:t>
      </w:r>
    </w:p>
    <w:p>
      <w:pPr>
        <w:pStyle w:val="4"/>
        <w:ind w:firstLine="643"/>
        <w:rPr>
          <w:rFonts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三</w:t>
      </w:r>
      <w:bookmarkStart w:id="0" w:name="_GoBack"/>
      <w:bookmarkEnd w:id="0"/>
      <w:r>
        <w:rPr>
          <w:rFonts w:hint="eastAsia" w:ascii="楷体_GB2312" w:eastAsia="楷体_GB2312"/>
          <w:szCs w:val="32"/>
        </w:rPr>
        <w:t>）项目支出</w:t>
      </w:r>
      <w:r>
        <w:rPr>
          <w:rFonts w:hint="eastAsia" w:ascii="楷体_GB2312" w:hAnsi="Cambria" w:eastAsia="楷体_GB2312"/>
          <w:szCs w:val="32"/>
        </w:rPr>
        <w:t>预算安排及支出情况</w:t>
      </w:r>
    </w:p>
    <w:p>
      <w:pPr>
        <w:ind w:firstLine="643"/>
        <w:rPr>
          <w:rFonts w:ascii="仿宋_GB2312" w:eastAsia="仿宋_GB2312"/>
          <w:b/>
          <w:bCs/>
          <w:sz w:val="32"/>
          <w:szCs w:val="32"/>
        </w:rPr>
      </w:pPr>
      <w:r>
        <w:rPr>
          <w:rFonts w:hint="eastAsia" w:ascii="仿宋_GB2312" w:eastAsia="仿宋_GB2312"/>
          <w:b/>
          <w:bCs/>
          <w:sz w:val="32"/>
          <w:szCs w:val="32"/>
        </w:rPr>
        <w:t>1.项目支出情况</w:t>
      </w:r>
    </w:p>
    <w:p>
      <w:pPr>
        <w:pStyle w:val="2"/>
        <w:ind w:firstLine="640"/>
        <w:rPr>
          <w:b w:val="0"/>
          <w:bCs w:val="0"/>
          <w:sz w:val="32"/>
        </w:rPr>
      </w:pPr>
      <w:r>
        <w:rPr>
          <w:rFonts w:hint="eastAsia" w:hAnsi="仿宋"/>
          <w:b w:val="0"/>
          <w:bCs w:val="0"/>
          <w:sz w:val="32"/>
        </w:rPr>
        <w:t>2020年，阿克苏职业技术学院项目支出年初预算金额为1064.80万元，支出金额为673.24万元，执行率为63.2%，年中调整预算金额为9791.01万元。综上，我单位项目支出预算总额为10855.81万元，支出总额为9371.98万元，预算总执行率为86.3%。</w:t>
      </w:r>
    </w:p>
    <w:p>
      <w:pPr>
        <w:ind w:firstLine="640"/>
        <w:rPr>
          <w:rFonts w:ascii="仿宋_GB2312" w:eastAsia="仿宋_GB2312"/>
          <w:sz w:val="32"/>
          <w:szCs w:val="32"/>
        </w:rPr>
      </w:pPr>
      <w:r>
        <w:rPr>
          <w:rFonts w:hint="eastAsia" w:ascii="仿宋_GB2312" w:eastAsia="仿宋_GB2312"/>
          <w:sz w:val="32"/>
          <w:szCs w:val="32"/>
        </w:rPr>
        <w:t>2020年，阿克苏职业技术学院共有23个中央、自治区、地区本级财力安排项目，已完成项目数量11个、未完成项目数量12个。2020年度中央、自治区、地区本级财力安排项目预算及执行情况见下表：</w:t>
      </w:r>
    </w:p>
    <w:p>
      <w:pPr>
        <w:ind w:firstLine="420"/>
        <w:jc w:val="right"/>
        <w:rPr>
          <w:sz w:val="21"/>
          <w:szCs w:val="21"/>
        </w:rPr>
      </w:pPr>
      <w:r>
        <w:rPr>
          <w:rFonts w:hint="eastAsia"/>
          <w:sz w:val="21"/>
          <w:szCs w:val="21"/>
        </w:rPr>
        <w:t>单位：万元</w:t>
      </w:r>
    </w:p>
    <w:tbl>
      <w:tblPr>
        <w:tblStyle w:val="11"/>
        <w:tblW w:w="8522" w:type="dxa"/>
        <w:tblInd w:w="0" w:type="dxa"/>
        <w:tblLayout w:type="fixed"/>
        <w:tblCellMar>
          <w:top w:w="0" w:type="dxa"/>
          <w:left w:w="108" w:type="dxa"/>
          <w:bottom w:w="0" w:type="dxa"/>
          <w:right w:w="108" w:type="dxa"/>
        </w:tblCellMar>
      </w:tblPr>
      <w:tblGrid>
        <w:gridCol w:w="3936"/>
        <w:gridCol w:w="1134"/>
        <w:gridCol w:w="1134"/>
        <w:gridCol w:w="850"/>
        <w:gridCol w:w="680"/>
        <w:gridCol w:w="788"/>
      </w:tblGrid>
      <w:tr>
        <w:tblPrEx>
          <w:tblCellMar>
            <w:top w:w="0" w:type="dxa"/>
            <w:left w:w="108" w:type="dxa"/>
            <w:bottom w:w="0" w:type="dxa"/>
            <w:right w:w="108" w:type="dxa"/>
          </w:tblCellMar>
        </w:tblPrEx>
        <w:trPr>
          <w:trHeight w:val="397" w:hRule="atLeast"/>
          <w:tblHeader/>
        </w:trPr>
        <w:tc>
          <w:tcPr>
            <w:tcW w:w="3936"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项目名称</w:t>
            </w:r>
          </w:p>
        </w:tc>
        <w:tc>
          <w:tcPr>
            <w:tcW w:w="1134"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预算金额</w:t>
            </w:r>
          </w:p>
        </w:tc>
        <w:tc>
          <w:tcPr>
            <w:tcW w:w="1134"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执行金额</w:t>
            </w:r>
          </w:p>
        </w:tc>
        <w:tc>
          <w:tcPr>
            <w:tcW w:w="85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执行率</w:t>
            </w:r>
          </w:p>
        </w:tc>
        <w:tc>
          <w:tcPr>
            <w:tcW w:w="680"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项目是否完成</w:t>
            </w:r>
          </w:p>
        </w:tc>
        <w:tc>
          <w:tcPr>
            <w:tcW w:w="788" w:type="dxa"/>
            <w:tcBorders>
              <w:top w:val="single" w:color="auto" w:sz="8" w:space="0"/>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是否上级专项资金</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2020年自治区第一批地方政府债券（新增专项债券）职业技术学院新校区建设项目</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5000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sz w:val="21"/>
                <w:szCs w:val="21"/>
              </w:rPr>
            </w:pPr>
            <w:r>
              <w:rPr>
                <w:rFonts w:hint="eastAsia" w:ascii="仿宋_GB2312" w:hAnsi="仿宋_GB2312" w:eastAsia="仿宋_GB2312" w:cs="仿宋_GB2312"/>
                <w:sz w:val="21"/>
                <w:szCs w:val="21"/>
              </w:rPr>
              <w:t>5000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教育教学保障经费</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812.80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421.24</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51.8%</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教育教学业务运行经费</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172</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172</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农村农、林、牧、渔、煤艰苦专业补助</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2020年“访惠聚”驻村工作经费（为民办实事工作经费、驻村第一书记工作经费、驻村工作人员补助经费）</w:t>
            </w:r>
          </w:p>
        </w:tc>
        <w:tc>
          <w:tcPr>
            <w:tcW w:w="1134" w:type="dxa"/>
            <w:tcBorders>
              <w:top w:val="nil"/>
              <w:left w:val="nil"/>
              <w:bottom w:val="single" w:color="auto" w:sz="8" w:space="0"/>
              <w:right w:val="single" w:color="auto" w:sz="8" w:space="0"/>
            </w:tcBorders>
            <w:shd w:val="clear" w:color="auto" w:fill="auto"/>
            <w:vAlign w:val="center"/>
          </w:tcPr>
          <w:p>
            <w:pPr>
              <w:widowControl/>
              <w:tabs>
                <w:tab w:val="left" w:pos="442"/>
              </w:tabs>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37.76</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37.76</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2020年学生资助补助经费（高等教育）（国家助学金）资金(中央资金)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506</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506</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提前下达2020年援疆干部南疆工作补贴</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2.48</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2020年高校自治区人民政府励志奖学金、助学金资金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327.80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327.80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2020年自治区高校国家助学金自治区配套资金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132.92</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132.92</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2020年自治区普通高等学校学生伙食补助资金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149.06</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122.14</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81.9%</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2020年自治区高校少数民族预科学生费和住宿费补助资金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482.80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235.21</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48.7%</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2020年南疆四地州及边境贫困县中等职业技术学校学生住宿费、教材费补助资金（自治区资金）</w:t>
            </w:r>
          </w:p>
        </w:tc>
        <w:tc>
          <w:tcPr>
            <w:tcW w:w="1134" w:type="dxa"/>
            <w:tcBorders>
              <w:top w:val="nil"/>
              <w:left w:val="nil"/>
              <w:bottom w:val="single" w:color="auto" w:sz="8" w:space="0"/>
              <w:right w:val="single" w:color="auto" w:sz="8" w:space="0"/>
            </w:tcBorders>
            <w:shd w:val="clear" w:color="auto" w:fill="auto"/>
            <w:vAlign w:val="center"/>
          </w:tcPr>
          <w:p>
            <w:pPr>
              <w:widowControl/>
              <w:tabs>
                <w:tab w:val="left" w:pos="352"/>
              </w:tabs>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258.48</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258.48</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2020年现代职业教育质量提升计划专项资金（高等职业学校）高职生均拨款奖补资金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6.33</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10.6%</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 xml:space="preserve">高等教育学生资助补助经费 </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294.38</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281.9</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95.8%</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2020年中等职业教育（国家奖学金）资金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3.54</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84.7%</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2020年中等职业教育（国家免学费）资金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672.53</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672.53</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2020年中等职业学校 （国家助学金）资金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487.29</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395.40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81.1%</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2020年中职学校免费教材费补助资金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129.24</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79.57</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61.6%</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2020年自治区高校班主任、辅导员岗位补贴资金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39.70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39.70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2020年自治区医疗服务与保障能力提升（卫生健康人才培训培养项目）补助资金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77.03</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2020年自治区职业教育专项经费（自治区优质高等职业学校建设项目）</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500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2020年自治区职业教育专项经费（自治区职业院校混合所有制试点立项补助资金）</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kern w:val="0"/>
                <w:sz w:val="21"/>
                <w:szCs w:val="21"/>
              </w:rPr>
            </w:pPr>
            <w:r>
              <w:rPr>
                <w:rFonts w:hint="eastAsia" w:ascii="仿宋_GB2312" w:hAnsi="宋体" w:eastAsia="仿宋_GB2312" w:cs="宋体"/>
                <w:kern w:val="0"/>
                <w:sz w:val="21"/>
                <w:szCs w:val="21"/>
              </w:rPr>
              <w:t>地区职业技术学院校园运转经费</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600</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600</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100%</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是</w:t>
            </w: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center"/>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否</w:t>
            </w:r>
          </w:p>
        </w:tc>
      </w:tr>
      <w:tr>
        <w:tblPrEx>
          <w:tblCellMar>
            <w:top w:w="0" w:type="dxa"/>
            <w:left w:w="108" w:type="dxa"/>
            <w:bottom w:w="0" w:type="dxa"/>
            <w:right w:w="108" w:type="dxa"/>
          </w:tblCellMar>
        </w:tblPrEx>
        <w:trPr>
          <w:trHeight w:val="397" w:hRule="atLeast"/>
        </w:trPr>
        <w:tc>
          <w:tcPr>
            <w:tcW w:w="3936" w:type="dxa"/>
            <w:tcBorders>
              <w:top w:val="nil"/>
              <w:left w:val="single" w:color="auto" w:sz="8" w:space="0"/>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left"/>
              <w:rPr>
                <w:rFonts w:ascii="仿宋_GB2312" w:hAnsi="宋体" w:eastAsia="仿宋_GB2312" w:cs="宋体"/>
                <w:b/>
                <w:bCs/>
                <w:kern w:val="0"/>
                <w:sz w:val="21"/>
                <w:szCs w:val="21"/>
              </w:rPr>
            </w:pPr>
            <w:r>
              <w:rPr>
                <w:rFonts w:hint="eastAsia" w:ascii="仿宋_GB2312" w:hAnsi="宋体" w:eastAsia="仿宋_GB2312" w:cs="宋体"/>
                <w:b/>
                <w:bCs/>
                <w:kern w:val="0"/>
                <w:sz w:val="21"/>
                <w:szCs w:val="21"/>
              </w:rPr>
              <w:t>合计</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10855.81</w:t>
            </w:r>
          </w:p>
        </w:tc>
        <w:tc>
          <w:tcPr>
            <w:tcW w:w="1134"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9371.98</w:t>
            </w:r>
          </w:p>
        </w:tc>
        <w:tc>
          <w:tcPr>
            <w:tcW w:w="85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86.3%</w:t>
            </w:r>
          </w:p>
        </w:tc>
        <w:tc>
          <w:tcPr>
            <w:tcW w:w="680"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p>
        </w:tc>
        <w:tc>
          <w:tcPr>
            <w:tcW w:w="788" w:type="dxa"/>
            <w:tcBorders>
              <w:top w:val="nil"/>
              <w:left w:val="nil"/>
              <w:bottom w:val="single" w:color="auto" w:sz="8" w:space="0"/>
              <w:right w:val="single" w:color="auto" w:sz="8" w:space="0"/>
            </w:tcBorders>
            <w:shd w:val="clear" w:color="auto" w:fill="auto"/>
            <w:vAlign w:val="center"/>
          </w:tcPr>
          <w:p>
            <w:pPr>
              <w:widowControl/>
              <w:adjustRightInd w:val="0"/>
              <w:snapToGrid w:val="0"/>
              <w:spacing w:line="240" w:lineRule="auto"/>
              <w:ind w:firstLine="0" w:firstLineChars="0"/>
              <w:jc w:val="right"/>
              <w:rPr>
                <w:rFonts w:ascii="仿宋_GB2312" w:hAnsi="仿宋_GB2312" w:eastAsia="仿宋_GB2312" w:cs="仿宋_GB2312"/>
                <w:kern w:val="0"/>
                <w:sz w:val="21"/>
                <w:szCs w:val="21"/>
              </w:rPr>
            </w:pPr>
          </w:p>
        </w:tc>
      </w:tr>
    </w:tbl>
    <w:p>
      <w:pPr>
        <w:numPr>
          <w:ilvl w:val="0"/>
          <w:numId w:val="3"/>
        </w:numPr>
        <w:ind w:firstLine="643"/>
        <w:rPr>
          <w:rFonts w:ascii="仿宋_GB2312" w:eastAsia="仿宋_GB2312"/>
          <w:b/>
          <w:bCs/>
          <w:sz w:val="32"/>
          <w:szCs w:val="32"/>
        </w:rPr>
      </w:pPr>
      <w:r>
        <w:rPr>
          <w:rFonts w:hint="eastAsia" w:ascii="仿宋_GB2312" w:eastAsia="仿宋_GB2312"/>
          <w:b/>
          <w:bCs/>
          <w:sz w:val="32"/>
          <w:szCs w:val="32"/>
        </w:rPr>
        <w:t>专项资金总投入及实际使用情况分析</w:t>
      </w:r>
    </w:p>
    <w:p>
      <w:pPr>
        <w:ind w:firstLine="640"/>
        <w:rPr>
          <w:rFonts w:ascii="仿宋_GB2312" w:eastAsia="仿宋_GB2312"/>
          <w:sz w:val="32"/>
          <w:szCs w:val="32"/>
        </w:rPr>
      </w:pPr>
      <w:r>
        <w:rPr>
          <w:rFonts w:hint="eastAsia" w:ascii="仿宋_GB2312" w:eastAsia="仿宋_GB2312"/>
          <w:sz w:val="32"/>
          <w:szCs w:val="32"/>
        </w:rPr>
        <w:t>2020年，预算安排专项资金9191.01万元，实际使用8098.74万元,结转1092.27万元。结转项目主要为:提前下达2020年援疆干部南疆工作补贴项目2.48万元，结转原因为该项目为预拨2021年1-3月援疆干部南疆工作补贴；2020年自治区普通高等学校学生伙食补助资金项目26.92万元，结转原因为该项目于2020年12月21日下达第二批资金26.92万元，项目实施需要学生对食堂评价、公示等规定程序，导致时间不足，项目未完成；2020年自治区高校少数民族预科学生费和住宿费补助资金项目247.59万元，结转原因为该项目于2020年12月21日下达第二批资金410.8万元，主要用于弥补学校公用经费，由于年底学院公用支出大部分已用自有资金垫付，造成项目结转；2020年现代职业教育质量提升计划专项资金（高等职业学校）高职生均拨款奖补资金项目53.67万元，结转原因为该项目主要用于1+X证书相关支出，由于受疫情影响，大部分技术证书考试及培训工作推迟，所以该项目结转2021年使用；高等教育学生资助补助经费项目12.48万元，结转原因为2020年义务服兵役学费代偿申请人员较少，资料上交不及时，上级下达义务服兵役资金较多，导致项目结转；2020年中等职业教育（国家奖学金）资金项目0.54万元，结转原因为上级多拨付资金，结转2021年发放；2020年中等职业学校 （国家助学金）资金项目91.89万元，结转原因为2020年下半年学院中职招生规模压减，造成项目结转；2020年中职学校免费教材费补助资金项目49.67万元，结转原因为2020年中职学生人数减少，同时中职学生使用义务教育目录教材，价格较为便宜；2020年自治区医疗服务与保障能力提升（卫生健康人才培训培养项目）补助资金项目77.03万元，结转原因为卫生健康考试多为上半年，所以用于2021年上半年进行考试培训及培养相关支出；2020年自治区职业教育专项经费（自治区优质高等职业学校建设项目）500万元，结转原因为该项目2020年12月14日下达，用于学院优质院校建设，建设期四年；2020年自治区职业教育专项经费（自治区职业院校混合所有制试点立项补助资金）30万元，结转原因为该项目2020年12月14日下达，结转入2021年实施。</w:t>
      </w:r>
    </w:p>
    <w:p>
      <w:pPr>
        <w:pStyle w:val="3"/>
        <w:ind w:firstLine="640"/>
        <w:rPr>
          <w:rFonts w:ascii="黑体" w:hAnsi="黑体"/>
          <w:b w:val="0"/>
          <w:sz w:val="32"/>
          <w:szCs w:val="32"/>
        </w:rPr>
      </w:pPr>
      <w:r>
        <w:rPr>
          <w:rFonts w:hint="eastAsia" w:ascii="黑体" w:hAnsi="黑体"/>
          <w:b w:val="0"/>
          <w:sz w:val="32"/>
          <w:szCs w:val="32"/>
        </w:rPr>
        <w:t>三、部门单位专项组织实施情况</w:t>
      </w:r>
    </w:p>
    <w:p>
      <w:pPr>
        <w:pStyle w:val="4"/>
        <w:ind w:firstLine="643"/>
        <w:rPr>
          <w:rFonts w:ascii="楷体_GB2312" w:eastAsia="楷体_GB2312"/>
          <w:szCs w:val="32"/>
        </w:rPr>
      </w:pPr>
      <w:r>
        <w:rPr>
          <w:rFonts w:hint="eastAsia" w:ascii="楷体_GB2312" w:eastAsia="楷体_GB2312"/>
          <w:szCs w:val="32"/>
        </w:rPr>
        <w:t>（一）专项组织情况分析</w:t>
      </w:r>
    </w:p>
    <w:p>
      <w:pPr>
        <w:ind w:firstLine="643"/>
        <w:rPr>
          <w:rFonts w:ascii="仿宋_GB2312" w:eastAsia="仿宋_GB2312"/>
          <w:sz w:val="32"/>
          <w:szCs w:val="32"/>
        </w:rPr>
      </w:pPr>
      <w:r>
        <w:rPr>
          <w:rFonts w:hint="eastAsia" w:ascii="仿宋_GB2312" w:eastAsia="仿宋_GB2312"/>
          <w:b/>
          <w:bCs/>
          <w:sz w:val="32"/>
          <w:szCs w:val="32"/>
        </w:rPr>
        <w:t>1.前期准备</w:t>
      </w:r>
    </w:p>
    <w:p>
      <w:pPr>
        <w:ind w:firstLine="640"/>
        <w:rPr>
          <w:rFonts w:ascii="仿宋_GB2312" w:eastAsia="仿宋_GB2312"/>
          <w:color w:val="FF0000"/>
          <w:sz w:val="32"/>
          <w:szCs w:val="32"/>
        </w:rPr>
      </w:pPr>
      <w:r>
        <w:rPr>
          <w:rFonts w:hint="eastAsia" w:ascii="仿宋_GB2312" w:eastAsia="仿宋_GB2312"/>
          <w:sz w:val="32"/>
          <w:szCs w:val="32"/>
        </w:rPr>
        <w:t>梳理2020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ind w:firstLine="643"/>
        <w:rPr>
          <w:rFonts w:ascii="仿宋_GB2312" w:eastAsia="仿宋_GB2312"/>
          <w:b/>
          <w:bCs/>
          <w:sz w:val="32"/>
          <w:szCs w:val="32"/>
        </w:rPr>
      </w:pPr>
      <w:r>
        <w:rPr>
          <w:rFonts w:hint="eastAsia" w:ascii="仿宋_GB2312" w:eastAsia="仿宋_GB2312"/>
          <w:b/>
          <w:bCs/>
          <w:sz w:val="32"/>
          <w:szCs w:val="32"/>
        </w:rPr>
        <w:t>2.组织实施</w:t>
      </w:r>
    </w:p>
    <w:p>
      <w:pPr>
        <w:ind w:firstLine="640"/>
        <w:rPr>
          <w:rFonts w:ascii="仿宋_GB2312" w:eastAsia="仿宋_GB2312"/>
          <w:sz w:val="32"/>
          <w:szCs w:val="32"/>
        </w:rPr>
      </w:pPr>
      <w:r>
        <w:rPr>
          <w:rFonts w:hint="eastAsia" w:ascii="仿宋_GB2312" w:eastAsia="仿宋_GB2312"/>
          <w:sz w:val="32"/>
          <w:szCs w:val="32"/>
        </w:rPr>
        <w:t>我单位通过项目文件研读和前期调研等方式，根据单位职能定位、中长期规划、年度工作计划以及专项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自评内容主要包括以下两个方面：</w:t>
      </w:r>
    </w:p>
    <w:p>
      <w:pPr>
        <w:ind w:firstLine="640"/>
        <w:rPr>
          <w:rFonts w:ascii="仿宋_GB2312" w:eastAsia="仿宋_GB2312"/>
          <w:sz w:val="32"/>
          <w:szCs w:val="32"/>
          <w:lang w:val="zh-TW" w:eastAsia="zh-TW"/>
        </w:rPr>
      </w:pPr>
      <w:r>
        <w:rPr>
          <w:rFonts w:hint="eastAsia" w:ascii="仿宋_GB2312" w:eastAsia="仿宋_GB2312"/>
          <w:sz w:val="32"/>
          <w:szCs w:val="32"/>
          <w:lang w:val="zh-TW" w:eastAsia="zh-TW"/>
        </w:rPr>
        <w:t>对</w:t>
      </w:r>
      <w:r>
        <w:rPr>
          <w:rFonts w:hint="eastAsia" w:ascii="仿宋_GB2312" w:eastAsia="仿宋_GB2312"/>
          <w:sz w:val="32"/>
          <w:szCs w:val="32"/>
        </w:rPr>
        <w:t>专项</w:t>
      </w:r>
      <w:r>
        <w:rPr>
          <w:rFonts w:hint="eastAsia" w:ascii="仿宋_GB2312" w:eastAsia="仿宋_GB2312"/>
          <w:sz w:val="32"/>
          <w:szCs w:val="32"/>
          <w:lang w:val="zh-TW"/>
        </w:rPr>
        <w:t>项目预算执行情况进行分析，</w:t>
      </w:r>
      <w:r>
        <w:rPr>
          <w:rFonts w:hint="eastAsia" w:ascii="仿宋_GB2312" w:eastAsia="仿宋_GB2312"/>
          <w:sz w:val="32"/>
          <w:szCs w:val="32"/>
        </w:rPr>
        <w:t>分析</w:t>
      </w:r>
      <w:r>
        <w:rPr>
          <w:rFonts w:hint="eastAsia" w:ascii="仿宋_GB2312" w:eastAsia="仿宋_GB2312"/>
          <w:sz w:val="32"/>
          <w:szCs w:val="32"/>
          <w:lang w:val="zh-TW"/>
        </w:rPr>
        <w:t>专项项目产出、项目目标的实现程度和管理有效性，从而总结项目取得的业绩和经验，发现项目存在的不足之处</w:t>
      </w:r>
      <w:r>
        <w:rPr>
          <w:rFonts w:hint="eastAsia" w:ascii="仿宋_GB2312" w:eastAsia="仿宋_GB2312"/>
          <w:sz w:val="32"/>
          <w:szCs w:val="32"/>
          <w:lang w:val="zh-TW" w:eastAsia="zh-TW"/>
        </w:rPr>
        <w:t>。</w:t>
      </w:r>
    </w:p>
    <w:p>
      <w:pPr>
        <w:ind w:firstLine="640"/>
        <w:rPr>
          <w:rFonts w:ascii="仿宋_GB2312" w:eastAsia="仿宋_GB2312"/>
          <w:sz w:val="32"/>
          <w:szCs w:val="32"/>
        </w:rPr>
      </w:pPr>
      <w:r>
        <w:rPr>
          <w:rFonts w:hint="eastAsia" w:ascii="仿宋_GB2312" w:eastAsia="仿宋_GB2312"/>
          <w:sz w:val="32"/>
          <w:szCs w:val="32"/>
          <w:lang w:val="zh-TW"/>
        </w:rPr>
        <w:t>对财政资金使用合规性进行评价，</w:t>
      </w:r>
      <w:r>
        <w:rPr>
          <w:rFonts w:hint="eastAsia" w:ascii="仿宋_GB2312" w:eastAsia="仿宋_GB2312"/>
          <w:sz w:val="32"/>
          <w:szCs w:val="32"/>
        </w:rPr>
        <w:t>主要评价：①</w:t>
      </w:r>
      <w:r>
        <w:rPr>
          <w:rFonts w:hint="eastAsia" w:ascii="仿宋_GB2312" w:eastAsia="仿宋_GB2312"/>
          <w:sz w:val="32"/>
          <w:szCs w:val="32"/>
          <w:lang w:val="zh-TW"/>
        </w:rPr>
        <w:t>专项资金是否存在截留、挪用，支付审批是否合规、是否存在用途改变、范围超支和虚列项目支出等情况；②项目实施是否符合专项管理办法，流程和管理制度是否合规；③项目完成情况的真实性和绩效目标完成情况分析。</w:t>
      </w:r>
      <w:r>
        <w:rPr>
          <w:rFonts w:hint="eastAsia" w:ascii="仿宋_GB2312" w:eastAsia="仿宋_GB2312"/>
          <w:sz w:val="32"/>
          <w:szCs w:val="32"/>
        </w:rPr>
        <w:t>通过评价</w:t>
      </w:r>
      <w:r>
        <w:rPr>
          <w:rFonts w:hint="eastAsia" w:ascii="仿宋_GB2312" w:eastAsia="仿宋_GB2312"/>
          <w:sz w:val="32"/>
          <w:szCs w:val="32"/>
          <w:lang w:val="zh-TW"/>
        </w:rPr>
        <w:t>发现财政资金使用中存在的合规性问题，总结财务内控中存在的不足之处。</w:t>
      </w:r>
    </w:p>
    <w:p>
      <w:pPr>
        <w:pStyle w:val="4"/>
        <w:numPr>
          <w:ilvl w:val="0"/>
          <w:numId w:val="5"/>
        </w:numPr>
        <w:ind w:firstLine="643"/>
        <w:rPr>
          <w:rFonts w:ascii="楷体_GB2312" w:eastAsia="楷体_GB2312"/>
          <w:szCs w:val="32"/>
        </w:rPr>
      </w:pPr>
      <w:r>
        <w:rPr>
          <w:rFonts w:hint="eastAsia" w:ascii="楷体_GB2312" w:eastAsia="楷体_GB2312"/>
          <w:szCs w:val="32"/>
        </w:rPr>
        <w:t>专项管理情况分析</w:t>
      </w:r>
    </w:p>
    <w:p>
      <w:pPr>
        <w:ind w:firstLine="643"/>
        <w:rPr>
          <w:rFonts w:ascii="仿宋_GB2312" w:eastAsia="仿宋_GB2312"/>
          <w:b/>
          <w:bCs/>
          <w:sz w:val="32"/>
          <w:szCs w:val="32"/>
        </w:rPr>
      </w:pPr>
      <w:r>
        <w:rPr>
          <w:rFonts w:hint="eastAsia" w:ascii="仿宋_GB2312" w:eastAsia="仿宋_GB2312"/>
          <w:b/>
          <w:bCs/>
          <w:sz w:val="32"/>
          <w:szCs w:val="32"/>
        </w:rPr>
        <w:t>1.项目资金情况分析</w:t>
      </w:r>
    </w:p>
    <w:p>
      <w:pPr>
        <w:ind w:firstLine="640"/>
        <w:rPr>
          <w:rFonts w:ascii="仿宋_GB2312" w:eastAsia="仿宋_GB2312"/>
          <w:sz w:val="32"/>
          <w:szCs w:val="32"/>
        </w:rPr>
      </w:pPr>
      <w:r>
        <w:rPr>
          <w:rFonts w:hint="eastAsia" w:ascii="仿宋_GB2312" w:eastAsia="仿宋_GB2312"/>
          <w:sz w:val="32"/>
          <w:szCs w:val="32"/>
        </w:rPr>
        <w:t>（1）</w:t>
      </w:r>
      <w:r>
        <w:rPr>
          <w:rFonts w:hint="eastAsia" w:ascii="仿宋_GB2312" w:eastAsia="仿宋_GB2312" w:cs="仿宋"/>
          <w:sz w:val="32"/>
          <w:szCs w:val="32"/>
        </w:rPr>
        <w:t>2020年，预算安排专项资金9191.01万元，实际使用8098.74万元</w:t>
      </w:r>
      <w:r>
        <w:rPr>
          <w:rFonts w:hint="eastAsia" w:ascii="仿宋_GB2312" w:eastAsia="仿宋_GB2312"/>
          <w:sz w:val="32"/>
          <w:szCs w:val="32"/>
        </w:rPr>
        <w:t>，预算执行率为88.1%。我单位专项资金严格按照阿克苏地区财政局及相关专项资金管理办法要求实行专款专用，在本年度各级审计和财政监督检查中未发现资金使用合规性问题。</w:t>
      </w:r>
    </w:p>
    <w:p>
      <w:pPr>
        <w:ind w:firstLine="643"/>
        <w:rPr>
          <w:rFonts w:ascii="仿宋_GB2312" w:eastAsia="仿宋_GB2312"/>
          <w:b/>
          <w:bCs/>
          <w:sz w:val="32"/>
          <w:szCs w:val="32"/>
        </w:rPr>
      </w:pPr>
      <w:r>
        <w:rPr>
          <w:rFonts w:hint="eastAsia" w:ascii="仿宋_GB2312" w:eastAsia="仿宋_GB2312"/>
          <w:b/>
          <w:bCs/>
          <w:sz w:val="32"/>
          <w:szCs w:val="32"/>
        </w:rPr>
        <w:t>2.项目实施情况分析</w:t>
      </w:r>
    </w:p>
    <w:p>
      <w:pPr>
        <w:ind w:firstLine="640"/>
        <w:rPr>
          <w:rFonts w:ascii="仿宋_GB2312" w:eastAsia="仿宋_GB2312"/>
          <w:sz w:val="32"/>
          <w:szCs w:val="32"/>
        </w:rPr>
      </w:pPr>
      <w:r>
        <w:rPr>
          <w:rFonts w:hint="eastAsia" w:ascii="仿宋_GB2312" w:eastAsia="仿宋_GB2312"/>
          <w:sz w:val="32"/>
          <w:szCs w:val="32"/>
        </w:rPr>
        <w:t>（1）组织情况：阿克苏职业技术学院建立财经领导小组，保证项目的实施。</w:t>
      </w:r>
    </w:p>
    <w:p>
      <w:pPr>
        <w:ind w:firstLine="640"/>
        <w:rPr>
          <w:rFonts w:ascii="仿宋_GB2312" w:eastAsia="仿宋_GB2312"/>
          <w:sz w:val="32"/>
          <w:szCs w:val="32"/>
        </w:rPr>
      </w:pPr>
      <w:r>
        <w:rPr>
          <w:rFonts w:hint="eastAsia" w:ascii="仿宋_GB2312" w:eastAsia="仿宋_GB2312"/>
          <w:sz w:val="32"/>
          <w:szCs w:val="32"/>
        </w:rPr>
        <w:t>（2）管理情况：阿克苏职业技术学院严格按照项目计划执行，明确部门管理职责，根据《财政专项资金管理办法》，建立科学的财政专项资金运行机制，本着专款专用的原则，严格执行项目资金批准的使用计划和项目批复资料，不擅自调项、扩项、缩项，更不拆借、挪用、挤占和随意扣压，提高财政资金使用效益。</w:t>
      </w:r>
    </w:p>
    <w:p>
      <w:pPr>
        <w:ind w:firstLine="640"/>
        <w:rPr>
          <w:rFonts w:ascii="仿宋_GB2312" w:eastAsia="仿宋_GB2312"/>
          <w:sz w:val="32"/>
          <w:szCs w:val="32"/>
        </w:rPr>
      </w:pPr>
      <w:r>
        <w:rPr>
          <w:rFonts w:hint="eastAsia" w:ascii="仿宋_GB2312" w:eastAsia="仿宋_GB2312"/>
          <w:sz w:val="32"/>
          <w:szCs w:val="32"/>
        </w:rPr>
        <w:t>（3）监管情况：阿克苏职业技术学院随时对专项项目进行监督检查，监督施工进度是否按照项目计划时间如期进行，检查项目实施内容是否与项目计划内容一致，同时对专项项目资金进行定期或不定期督查，确保项目资金专款专用。</w:t>
      </w:r>
    </w:p>
    <w:p>
      <w:pPr>
        <w:ind w:firstLine="643"/>
        <w:rPr>
          <w:rFonts w:ascii="仿宋_GB2312" w:eastAsia="仿宋_GB2312"/>
          <w:b/>
          <w:bCs/>
          <w:sz w:val="32"/>
          <w:szCs w:val="32"/>
        </w:rPr>
      </w:pPr>
      <w:r>
        <w:rPr>
          <w:rFonts w:hint="eastAsia" w:ascii="仿宋_GB2312" w:eastAsia="仿宋_GB2312"/>
          <w:b/>
          <w:bCs/>
          <w:sz w:val="32"/>
          <w:szCs w:val="32"/>
        </w:rPr>
        <w:t>3.项目绩效情况分析</w:t>
      </w:r>
    </w:p>
    <w:p>
      <w:pPr>
        <w:ind w:firstLine="640"/>
        <w:rPr>
          <w:rFonts w:ascii="仿宋_GB2312" w:eastAsia="仿宋_GB2312"/>
          <w:sz w:val="32"/>
          <w:szCs w:val="32"/>
        </w:rPr>
      </w:pPr>
      <w:r>
        <w:rPr>
          <w:rFonts w:hint="eastAsia" w:ascii="仿宋_GB2312" w:eastAsia="仿宋_GB2312"/>
          <w:sz w:val="32"/>
          <w:szCs w:val="32"/>
        </w:rPr>
        <w:t>本单位所涉及专项项目均已纳入绩效管理，19个专项项目实际绩效情况如下：</w:t>
      </w:r>
    </w:p>
    <w:p>
      <w:pPr>
        <w:ind w:firstLine="640"/>
        <w:rPr>
          <w:rFonts w:ascii="仿宋_GB2312" w:eastAsia="仿宋_GB2312"/>
          <w:sz w:val="32"/>
          <w:szCs w:val="32"/>
        </w:rPr>
      </w:pPr>
      <w:r>
        <w:rPr>
          <w:rFonts w:hint="eastAsia" w:ascii="仿宋_GB2312" w:eastAsia="仿宋_GB2312"/>
          <w:sz w:val="32"/>
          <w:szCs w:val="32"/>
        </w:rPr>
        <w:t>（1）成本控制：阿克苏职业技术学院在其职能范围内，明确项目职责分工和成本控制要求，对各种影响成本的因素和条件采取了一系列预防和调节措施，科学地组织实施成本控制。</w:t>
      </w:r>
    </w:p>
    <w:p>
      <w:pPr>
        <w:ind w:firstLine="640"/>
        <w:rPr>
          <w:rFonts w:ascii="仿宋_GB2312" w:eastAsia="仿宋_GB2312"/>
          <w:color w:val="FF0000"/>
          <w:sz w:val="32"/>
          <w:szCs w:val="32"/>
        </w:rPr>
      </w:pPr>
      <w:r>
        <w:rPr>
          <w:rFonts w:hint="eastAsia" w:ascii="仿宋_GB2312" w:eastAsia="仿宋_GB2312"/>
          <w:sz w:val="32"/>
          <w:szCs w:val="32"/>
        </w:rPr>
        <w:t>（2）成本节约：阿克苏职业技术学院在实施专项项目过程中，无相关成本节约情况。</w:t>
      </w:r>
    </w:p>
    <w:p>
      <w:pPr>
        <w:ind w:firstLine="643"/>
        <w:rPr>
          <w:rFonts w:ascii="仿宋_GB2312" w:eastAsia="仿宋_GB2312"/>
          <w:b/>
          <w:bCs/>
          <w:sz w:val="32"/>
          <w:szCs w:val="32"/>
        </w:rPr>
      </w:pPr>
      <w:r>
        <w:rPr>
          <w:rFonts w:hint="eastAsia" w:ascii="仿宋_GB2312" w:eastAsia="仿宋_GB2312"/>
          <w:b/>
          <w:bCs/>
          <w:sz w:val="32"/>
          <w:szCs w:val="32"/>
        </w:rPr>
        <w:t>4.项目效率性分析（实施进度、完成质量）</w:t>
      </w:r>
    </w:p>
    <w:p>
      <w:pPr>
        <w:pStyle w:val="2"/>
        <w:ind w:firstLine="640"/>
        <w:rPr>
          <w:rFonts w:hAnsi="仿宋" w:cs="仿宋"/>
          <w:b w:val="0"/>
          <w:bCs w:val="0"/>
          <w:sz w:val="32"/>
        </w:rPr>
      </w:pPr>
      <w:r>
        <w:rPr>
          <w:rFonts w:hint="eastAsia" w:hAnsi="仿宋" w:cs="仿宋"/>
          <w:b w:val="0"/>
          <w:bCs w:val="0"/>
          <w:sz w:val="32"/>
        </w:rPr>
        <w:t>2020年自治区第一批地方政府债券（新增专项债券）职业技术学院新校区建设项目已完成，实施进度为100%，达到预期完成质量要求；</w:t>
      </w:r>
    </w:p>
    <w:p>
      <w:pPr>
        <w:pStyle w:val="2"/>
        <w:ind w:firstLine="640"/>
        <w:rPr>
          <w:rFonts w:hAnsi="仿宋" w:cs="仿宋"/>
          <w:b w:val="0"/>
          <w:bCs w:val="0"/>
          <w:sz w:val="32"/>
        </w:rPr>
      </w:pPr>
      <w:r>
        <w:rPr>
          <w:rFonts w:hint="eastAsia" w:hAnsi="仿宋" w:cs="仿宋"/>
          <w:b w:val="0"/>
          <w:bCs w:val="0"/>
          <w:sz w:val="32"/>
        </w:rPr>
        <w:t>2020年“访惠聚”驻村工作经费（为民办实事工作经费、驻村第一书记工作经费、驻村工作人员补助经费）项目已完成，实施进度为100%，达到预期完成质量要求；</w:t>
      </w:r>
    </w:p>
    <w:p>
      <w:pPr>
        <w:pStyle w:val="2"/>
        <w:ind w:firstLine="640"/>
        <w:rPr>
          <w:rFonts w:hAnsi="仿宋" w:cs="仿宋"/>
          <w:b w:val="0"/>
          <w:bCs w:val="0"/>
          <w:sz w:val="32"/>
        </w:rPr>
      </w:pPr>
      <w:r>
        <w:rPr>
          <w:rFonts w:hint="eastAsia" w:hAnsi="仿宋" w:cs="仿宋"/>
          <w:b w:val="0"/>
          <w:bCs w:val="0"/>
          <w:sz w:val="32"/>
        </w:rPr>
        <w:t>2020年学生资助补助经费（高等教育）（国家助学金）资金(中央资金)项目已完成，实施进度为100%，达到预期完成质量要求；</w:t>
      </w:r>
    </w:p>
    <w:p>
      <w:pPr>
        <w:ind w:firstLine="640"/>
        <w:rPr>
          <w:rFonts w:cs="仿宋"/>
          <w:sz w:val="32"/>
        </w:rPr>
      </w:pPr>
      <w:r>
        <w:rPr>
          <w:rFonts w:hint="eastAsia" w:ascii="仿宋_GB2312" w:eastAsia="仿宋_GB2312" w:cs="仿宋"/>
          <w:sz w:val="32"/>
          <w:szCs w:val="32"/>
        </w:rPr>
        <w:t>提前下达2020年援疆干部南疆工作补贴</w:t>
      </w:r>
      <w:r>
        <w:rPr>
          <w:rFonts w:hint="eastAsia" w:cs="仿宋"/>
          <w:sz w:val="32"/>
        </w:rPr>
        <w:t>项目由于</w:t>
      </w:r>
      <w:r>
        <w:rPr>
          <w:rFonts w:hint="eastAsia" w:ascii="仿宋_GB2312" w:eastAsia="仿宋_GB2312" w:cs="仿宋"/>
          <w:sz w:val="32"/>
          <w:szCs w:val="32"/>
        </w:rPr>
        <w:t>该项目为预拨2021年1-3月份援疆干部南疆工作补贴资金</w:t>
      </w:r>
      <w:r>
        <w:rPr>
          <w:rFonts w:hint="eastAsia" w:cs="仿宋"/>
          <w:sz w:val="32"/>
        </w:rPr>
        <w:t>原因尚未开展；</w:t>
      </w:r>
    </w:p>
    <w:p>
      <w:pPr>
        <w:ind w:firstLine="640"/>
        <w:rPr>
          <w:rFonts w:ascii="仿宋_GB2312" w:eastAsia="仿宋_GB2312" w:cs="仿宋"/>
          <w:sz w:val="32"/>
          <w:szCs w:val="32"/>
        </w:rPr>
      </w:pPr>
      <w:r>
        <w:rPr>
          <w:rFonts w:hint="eastAsia" w:ascii="仿宋_GB2312" w:eastAsia="仿宋_GB2312" w:cs="仿宋"/>
          <w:sz w:val="32"/>
          <w:szCs w:val="32"/>
        </w:rPr>
        <w:t>2020年高校自治区人民政府励志奖学金、助学金资金项目已完成，实施进度为100%，达到预期完成质量要求；</w:t>
      </w:r>
    </w:p>
    <w:p>
      <w:pPr>
        <w:ind w:firstLine="640"/>
        <w:rPr>
          <w:rFonts w:ascii="仿宋_GB2312" w:eastAsia="仿宋_GB2312" w:cs="仿宋"/>
          <w:sz w:val="32"/>
          <w:szCs w:val="32"/>
        </w:rPr>
      </w:pPr>
      <w:r>
        <w:rPr>
          <w:rFonts w:hint="eastAsia" w:ascii="仿宋_GB2312" w:eastAsia="仿宋_GB2312" w:cs="仿宋"/>
          <w:sz w:val="32"/>
          <w:szCs w:val="32"/>
        </w:rPr>
        <w:t>2020年自治区高校国家助学金自治区配套资金项目已完成，实施进度为100%，达到预期完成质量要求；</w:t>
      </w:r>
    </w:p>
    <w:p>
      <w:pPr>
        <w:ind w:firstLine="640"/>
        <w:rPr>
          <w:rFonts w:ascii="仿宋_GB2312" w:eastAsia="仿宋_GB2312" w:cs="仿宋"/>
          <w:sz w:val="32"/>
          <w:szCs w:val="32"/>
        </w:rPr>
      </w:pPr>
      <w:r>
        <w:rPr>
          <w:rFonts w:hint="eastAsia" w:ascii="仿宋_GB2312" w:eastAsia="仿宋_GB2312" w:cs="仿宋"/>
          <w:sz w:val="32"/>
          <w:szCs w:val="32"/>
        </w:rPr>
        <w:t>2020年自治区普通高等学校学生伙食补助资金项目完成进度为81.9%，已支出122.14万元，预算执行率为81.9%，原因为该项目为该项目于2020年12月21日下达第二批资金26.92万元，项目实施需要学生对食堂评价、公示等规定程序，导致时间不足；</w:t>
      </w:r>
    </w:p>
    <w:p>
      <w:pPr>
        <w:ind w:firstLine="640"/>
        <w:rPr>
          <w:rFonts w:ascii="仿宋_GB2312" w:eastAsia="仿宋_GB2312" w:cs="仿宋"/>
          <w:sz w:val="32"/>
          <w:szCs w:val="32"/>
        </w:rPr>
      </w:pPr>
      <w:r>
        <w:rPr>
          <w:rFonts w:hint="eastAsia" w:ascii="仿宋_GB2312" w:eastAsia="仿宋_GB2312" w:cs="仿宋"/>
          <w:sz w:val="32"/>
          <w:szCs w:val="32"/>
        </w:rPr>
        <w:t>2020年自治区高校少数民族预科学生费和住宿费补助资金项目完成进度为48.7%，已支出235.21万元，预算执行率为48.7%，原因为该项目于2020年12月21日下达第二批资金410.8万元，主要用于弥补学校公用经费，由于年底学院部分公用支出已用自有资金垫付，造成项目结转；</w:t>
      </w:r>
    </w:p>
    <w:p>
      <w:pPr>
        <w:ind w:firstLine="640"/>
        <w:rPr>
          <w:rFonts w:ascii="仿宋_GB2312" w:eastAsia="仿宋_GB2312" w:cs="仿宋"/>
          <w:sz w:val="32"/>
          <w:szCs w:val="32"/>
        </w:rPr>
      </w:pPr>
      <w:r>
        <w:rPr>
          <w:rFonts w:hint="eastAsia" w:ascii="仿宋_GB2312" w:eastAsia="仿宋_GB2312" w:cs="仿宋"/>
          <w:sz w:val="32"/>
          <w:szCs w:val="32"/>
        </w:rPr>
        <w:t>2020年南疆四地州及边境贫困县中等职业技术学校学生住宿费、教材费补助资金（自治区资金）项目已完成，实施进度为100%，达到预期完成质量要求；</w:t>
      </w:r>
    </w:p>
    <w:p>
      <w:pPr>
        <w:ind w:firstLine="640"/>
        <w:rPr>
          <w:rFonts w:ascii="仿宋_GB2312" w:eastAsia="仿宋_GB2312" w:cs="仿宋"/>
          <w:sz w:val="32"/>
          <w:szCs w:val="32"/>
        </w:rPr>
      </w:pPr>
      <w:r>
        <w:rPr>
          <w:rFonts w:hint="eastAsia" w:ascii="仿宋_GB2312" w:eastAsia="仿宋_GB2312" w:cs="仿宋"/>
          <w:sz w:val="32"/>
          <w:szCs w:val="32"/>
        </w:rPr>
        <w:t>2020年现代职业教育质量提升计划专项资金（高等职业学校）高职生均拨款奖补资金项目完成进度为10.6%，已支出6.33万元，预算执行率为10.6%，原因为该项目主要用于1+X证书相关支出，由于受疫情影响，大部分技术证书考试及培训工作推迟；</w:t>
      </w:r>
    </w:p>
    <w:p>
      <w:pPr>
        <w:ind w:firstLine="640"/>
        <w:rPr>
          <w:rFonts w:ascii="仿宋_GB2312" w:eastAsia="仿宋_GB2312" w:cs="仿宋"/>
          <w:sz w:val="32"/>
          <w:szCs w:val="32"/>
        </w:rPr>
      </w:pPr>
      <w:r>
        <w:rPr>
          <w:rFonts w:hint="eastAsia" w:ascii="仿宋_GB2312" w:eastAsia="仿宋_GB2312" w:cs="仿宋"/>
          <w:sz w:val="32"/>
          <w:szCs w:val="32"/>
        </w:rPr>
        <w:t>高等教育学生资助补助经费项目完成进度为95.8%，已支出281.9万元，预算执行率为95.8%，原因为2020年义务服兵役学费代偿申请人员较少，资料上交不及时，上级下达义务服兵役资金较多；</w:t>
      </w:r>
    </w:p>
    <w:p>
      <w:pPr>
        <w:ind w:firstLine="640"/>
        <w:rPr>
          <w:rFonts w:ascii="仿宋_GB2312" w:eastAsia="仿宋_GB2312" w:cs="仿宋"/>
          <w:sz w:val="32"/>
          <w:szCs w:val="32"/>
        </w:rPr>
      </w:pPr>
      <w:r>
        <w:rPr>
          <w:rFonts w:hint="eastAsia" w:ascii="仿宋_GB2312" w:eastAsia="仿宋_GB2312" w:cs="仿宋"/>
          <w:sz w:val="32"/>
          <w:szCs w:val="32"/>
        </w:rPr>
        <w:t>2020年中等职业教育（国家奖学金）资金项目完成进度为84.7%，已支出3万元，预算执行率为84.7%，原因为上级多拨付资金；</w:t>
      </w:r>
    </w:p>
    <w:p>
      <w:pPr>
        <w:ind w:firstLine="640"/>
        <w:rPr>
          <w:rFonts w:ascii="仿宋_GB2312" w:eastAsia="仿宋_GB2312" w:cs="仿宋"/>
          <w:sz w:val="32"/>
          <w:szCs w:val="32"/>
        </w:rPr>
      </w:pPr>
      <w:r>
        <w:rPr>
          <w:rFonts w:hint="eastAsia" w:ascii="仿宋_GB2312" w:eastAsia="仿宋_GB2312" w:cs="仿宋"/>
          <w:sz w:val="32"/>
          <w:szCs w:val="32"/>
        </w:rPr>
        <w:t>2020年中等职业教育（国家免学费）资金项目已完成，实施进度为100%，达到预期完成质量要求；</w:t>
      </w:r>
    </w:p>
    <w:p>
      <w:pPr>
        <w:ind w:firstLine="640"/>
        <w:rPr>
          <w:rFonts w:ascii="仿宋_GB2312" w:eastAsia="仿宋_GB2312" w:cs="仿宋"/>
          <w:sz w:val="32"/>
          <w:szCs w:val="32"/>
        </w:rPr>
      </w:pPr>
      <w:r>
        <w:rPr>
          <w:rFonts w:hint="eastAsia" w:ascii="仿宋_GB2312" w:eastAsia="仿宋_GB2312" w:cs="仿宋"/>
          <w:sz w:val="32"/>
          <w:szCs w:val="32"/>
        </w:rPr>
        <w:t>2020年中等职业学校 （国家助学金）资金项目完成进度为81.1%，已支出395.4万元，预算执行率为81.1%，原因为2020年下半年学院中职招生规模压减；</w:t>
      </w:r>
    </w:p>
    <w:p>
      <w:pPr>
        <w:ind w:firstLine="640"/>
        <w:rPr>
          <w:rFonts w:ascii="仿宋_GB2312" w:eastAsia="仿宋_GB2312" w:cs="仿宋"/>
          <w:sz w:val="32"/>
          <w:szCs w:val="32"/>
        </w:rPr>
      </w:pPr>
      <w:r>
        <w:rPr>
          <w:rFonts w:hint="eastAsia" w:ascii="仿宋_GB2312" w:eastAsia="仿宋_GB2312" w:cs="仿宋"/>
          <w:sz w:val="32"/>
          <w:szCs w:val="32"/>
        </w:rPr>
        <w:t>2020年中职学校免费教材费补助资金项目完成进度为61.6%，已支出79.57万元，预算执行率为61.6%，原因为2020年中职学生人数减少，同时中职学生使用义务教育目录教材，价格较为便宜；</w:t>
      </w:r>
    </w:p>
    <w:p>
      <w:pPr>
        <w:ind w:firstLine="640"/>
        <w:rPr>
          <w:rFonts w:ascii="仿宋_GB2312" w:eastAsia="仿宋_GB2312" w:cs="仿宋"/>
          <w:sz w:val="32"/>
          <w:szCs w:val="32"/>
        </w:rPr>
      </w:pPr>
      <w:r>
        <w:rPr>
          <w:rFonts w:hint="eastAsia" w:ascii="仿宋_GB2312" w:eastAsia="仿宋_GB2312" w:cs="仿宋"/>
          <w:sz w:val="32"/>
          <w:szCs w:val="32"/>
        </w:rPr>
        <w:t>2020年自治区高校班主任、辅导员岗位补贴资金项目已完成，实施进度为100%，达到预期完成质量要求；</w:t>
      </w:r>
    </w:p>
    <w:p>
      <w:pPr>
        <w:ind w:firstLine="640"/>
        <w:rPr>
          <w:rFonts w:ascii="仿宋_GB2312" w:eastAsia="仿宋_GB2312" w:cs="仿宋"/>
          <w:sz w:val="32"/>
          <w:szCs w:val="32"/>
        </w:rPr>
      </w:pPr>
      <w:r>
        <w:rPr>
          <w:rFonts w:hint="eastAsia" w:ascii="仿宋_GB2312" w:eastAsia="仿宋_GB2312" w:cs="仿宋"/>
          <w:sz w:val="32"/>
          <w:szCs w:val="32"/>
        </w:rPr>
        <w:t>2020年自治区医疗服务与保障能力提升（卫生健康人才培训培养项目）补助资金项目由于卫生健康考试多为上半年开始，所以资金下达时2020年考试及培训培养工作已完成原因尚未开展；</w:t>
      </w:r>
    </w:p>
    <w:p>
      <w:pPr>
        <w:ind w:firstLine="640"/>
        <w:rPr>
          <w:rFonts w:ascii="仿宋_GB2312" w:eastAsia="仿宋_GB2312" w:cs="仿宋"/>
          <w:sz w:val="32"/>
          <w:szCs w:val="32"/>
        </w:rPr>
      </w:pPr>
      <w:r>
        <w:rPr>
          <w:rFonts w:hint="eastAsia" w:ascii="仿宋_GB2312" w:eastAsia="仿宋_GB2312" w:cs="仿宋"/>
          <w:sz w:val="32"/>
          <w:szCs w:val="32"/>
        </w:rPr>
        <w:t>2020年自治区职业教育专项经费（自治区优质高等职业学校建设项目）项目由于该项目2020年12月14日下达，项目建设期为四年等原因尚未开展；</w:t>
      </w:r>
    </w:p>
    <w:p>
      <w:pPr>
        <w:ind w:firstLine="640"/>
        <w:rPr>
          <w:rFonts w:ascii="仿宋_GB2312" w:eastAsia="仿宋_GB2312" w:cs="仿宋"/>
          <w:sz w:val="32"/>
          <w:szCs w:val="32"/>
        </w:rPr>
      </w:pPr>
      <w:r>
        <w:rPr>
          <w:rFonts w:hint="eastAsia" w:ascii="仿宋_GB2312" w:eastAsia="仿宋_GB2312" w:cs="仿宋"/>
          <w:sz w:val="32"/>
          <w:szCs w:val="32"/>
        </w:rPr>
        <w:t>2020年自治区职业教育专项经费（自治区职业院校混合所有制试点立项补助资金）项目由于资金下达时间较晚原因尚未开展。</w:t>
      </w:r>
    </w:p>
    <w:p>
      <w:pPr>
        <w:ind w:firstLine="643"/>
        <w:rPr>
          <w:rFonts w:ascii="仿宋_GB2312" w:eastAsia="仿宋_GB2312"/>
          <w:b/>
          <w:bCs/>
          <w:sz w:val="32"/>
          <w:szCs w:val="32"/>
        </w:rPr>
      </w:pPr>
      <w:r>
        <w:rPr>
          <w:rFonts w:hint="eastAsia" w:ascii="仿宋_GB2312" w:eastAsia="仿宋_GB2312"/>
          <w:b/>
          <w:bCs/>
          <w:sz w:val="32"/>
          <w:szCs w:val="32"/>
        </w:rPr>
        <w:t>5.项目效益性分析（预期目标完成程度、实施对经济和社会的影响）</w:t>
      </w:r>
    </w:p>
    <w:p>
      <w:pPr>
        <w:ind w:firstLine="640"/>
        <w:rPr>
          <w:rFonts w:ascii="仿宋_GB2312" w:eastAsia="仿宋_GB2312" w:cs="仿宋"/>
          <w:sz w:val="32"/>
          <w:szCs w:val="32"/>
        </w:rPr>
      </w:pPr>
      <w:r>
        <w:rPr>
          <w:rFonts w:hint="eastAsia" w:ascii="仿宋_GB2312" w:eastAsia="仿宋_GB2312" w:cs="仿宋"/>
          <w:sz w:val="32"/>
          <w:szCs w:val="32"/>
        </w:rPr>
        <w:t>2020年，我单位以提升职业教育教学能力，增强办学能力及水平为核心价值，积极开展了2020年自治区第一批地方政府债券（新增专项债券）职业技术学院新校区建设项目项目，新建教学楼6227平方米，新建实训楼5957.45平方米，新建食堂8050平方米，政府采购率100%，资金支付合规率100%，资金拨付及时率100%，教育教学水平明显提升；</w:t>
      </w:r>
    </w:p>
    <w:p>
      <w:pPr>
        <w:ind w:firstLine="640"/>
        <w:rPr>
          <w:rFonts w:ascii="仿宋_GB2312" w:eastAsia="仿宋_GB2312" w:cs="仿宋"/>
          <w:sz w:val="32"/>
          <w:szCs w:val="32"/>
        </w:rPr>
      </w:pPr>
      <w:r>
        <w:rPr>
          <w:rFonts w:hint="eastAsia" w:ascii="仿宋_GB2312" w:eastAsia="仿宋_GB2312" w:cs="仿宋"/>
          <w:sz w:val="32"/>
          <w:szCs w:val="32"/>
        </w:rPr>
        <w:t>2020年我单位完成为民办实事好事6次，覆盖村民数238人，资金使用合格率100%，上级安排的工作时效性有效提高，访惠聚工作队为民办实事经费10万元，第一书记工作经费4万元，访惠聚驻村工作队员补助23.76万元，驻村点村民生活水平得到提高，村民对国家惠民政策了解程度进一步提高，基层群众满意度达到90%；</w:t>
      </w:r>
    </w:p>
    <w:p>
      <w:pPr>
        <w:ind w:firstLine="640"/>
        <w:rPr>
          <w:rFonts w:ascii="仿宋_GB2312" w:eastAsia="仿宋_GB2312" w:cs="仿宋"/>
          <w:sz w:val="32"/>
          <w:szCs w:val="32"/>
        </w:rPr>
      </w:pPr>
      <w:r>
        <w:rPr>
          <w:rFonts w:hint="eastAsia" w:ascii="仿宋_GB2312" w:eastAsia="仿宋_GB2312" w:cs="仿宋"/>
          <w:sz w:val="32"/>
          <w:szCs w:val="32"/>
        </w:rPr>
        <w:t>2020年学生资助补助经费（高等教育）（国家助学金）资金(中央资金)项目，国家助学金资助面为30.8%，励志奖学金资助面为3%，补助发放合规率为100%，学生资助资金能够按时发放，国家助学金资助标准为3300元/生/年，国家励志奖学金补助标准5000元/生/年，学生因贫失学率有所下降，高等教育公平程度不断提升，学生及家长满意度达到95%；</w:t>
      </w:r>
    </w:p>
    <w:p>
      <w:pPr>
        <w:ind w:firstLine="640"/>
        <w:rPr>
          <w:rFonts w:ascii="仿宋_GB2312" w:eastAsia="仿宋_GB2312" w:cs="仿宋"/>
          <w:sz w:val="32"/>
          <w:szCs w:val="32"/>
        </w:rPr>
      </w:pPr>
      <w:r>
        <w:rPr>
          <w:rFonts w:ascii="仿宋_GB2312" w:eastAsia="仿宋_GB2312" w:cs="仿宋"/>
          <w:sz w:val="32"/>
          <w:szCs w:val="32"/>
        </w:rPr>
        <w:t>提前下达2020年援疆干部南疆工作补贴</w:t>
      </w:r>
      <w:r>
        <w:rPr>
          <w:rFonts w:hint="eastAsia" w:ascii="仿宋_GB2312" w:eastAsia="仿宋_GB2312" w:cs="仿宋"/>
          <w:sz w:val="32"/>
          <w:szCs w:val="32"/>
        </w:rPr>
        <w:t>项目，由于该项目为提前下达2021年1-3月援疆干部南疆工作补贴，所以该项目未开展；</w:t>
      </w:r>
    </w:p>
    <w:p>
      <w:pPr>
        <w:ind w:firstLine="640"/>
        <w:rPr>
          <w:rFonts w:ascii="仿宋_GB2312" w:eastAsia="仿宋_GB2312" w:cs="仿宋"/>
          <w:sz w:val="32"/>
          <w:szCs w:val="32"/>
        </w:rPr>
      </w:pPr>
      <w:r>
        <w:rPr>
          <w:rFonts w:ascii="仿宋_GB2312" w:eastAsia="仿宋_GB2312" w:cs="仿宋"/>
          <w:sz w:val="32"/>
          <w:szCs w:val="32"/>
        </w:rPr>
        <w:t>2020年高校自治区人民政府励志奖学金、助学金资金</w:t>
      </w:r>
      <w:r>
        <w:rPr>
          <w:rFonts w:hint="eastAsia" w:ascii="仿宋_GB2312" w:eastAsia="仿宋_GB2312" w:cs="仿宋"/>
          <w:sz w:val="32"/>
          <w:szCs w:val="32"/>
        </w:rPr>
        <w:t>项目，2020年我单位自治区人民政府励志奖学金补助187人，自治区人民政府助学金补助977人，项目在预期规定时间内完成，自治区人民政府励志奖学金补助标准为6000元/生/年，自治区人民政府助学金补助标准为人均2000元/生/年，有效减轻受助学生家庭经济负担，受助学生满意度达到100%；</w:t>
      </w:r>
    </w:p>
    <w:p>
      <w:pPr>
        <w:ind w:firstLine="640"/>
        <w:rPr>
          <w:rFonts w:ascii="仿宋_GB2312" w:eastAsia="仿宋_GB2312" w:cs="仿宋"/>
          <w:sz w:val="32"/>
          <w:szCs w:val="32"/>
        </w:rPr>
      </w:pPr>
      <w:r>
        <w:rPr>
          <w:rFonts w:ascii="仿宋_GB2312" w:eastAsia="仿宋_GB2312" w:cs="仿宋"/>
          <w:sz w:val="32"/>
          <w:szCs w:val="32"/>
        </w:rPr>
        <w:t>2020年自治区高校国家助学金自治区配套资金</w:t>
      </w:r>
      <w:r>
        <w:rPr>
          <w:rFonts w:hint="eastAsia" w:ascii="仿宋_GB2312" w:eastAsia="仿宋_GB2312" w:cs="仿宋"/>
          <w:sz w:val="32"/>
          <w:szCs w:val="32"/>
        </w:rPr>
        <w:t>项目，该项目国家助学金共计补助403名学生，补助合规率为100%，项目按预期时间完成，国家助学金补助标准为3300元/生/年，有效减轻受助学生家庭经济压力，受助学生满意度达到100%；</w:t>
      </w:r>
    </w:p>
    <w:p>
      <w:pPr>
        <w:ind w:firstLine="640"/>
        <w:rPr>
          <w:rFonts w:ascii="仿宋_GB2312" w:eastAsia="仿宋_GB2312" w:cs="仿宋"/>
          <w:sz w:val="32"/>
          <w:szCs w:val="32"/>
        </w:rPr>
      </w:pPr>
      <w:r>
        <w:rPr>
          <w:rFonts w:hint="eastAsia" w:ascii="仿宋_GB2312" w:eastAsia="仿宋_GB2312" w:cs="仿宋"/>
          <w:sz w:val="32"/>
          <w:szCs w:val="32"/>
        </w:rPr>
        <w:t>2020年自治区普通高等学校学生伙食补助资金项目，该项目全年补助6107人，资金全额到位，由于第二批资金年末拨入，项目未能按照预期时间完成，完成高校伙食补助资金122.14万元，按照每天每生补助食堂1元降价补助，有效减轻学生经济负担，学生满意度达到90%；</w:t>
      </w:r>
    </w:p>
    <w:p>
      <w:pPr>
        <w:ind w:firstLine="640"/>
        <w:rPr>
          <w:rFonts w:ascii="仿宋_GB2312" w:eastAsia="仿宋_GB2312" w:cs="仿宋"/>
          <w:sz w:val="32"/>
          <w:szCs w:val="32"/>
        </w:rPr>
      </w:pPr>
      <w:r>
        <w:rPr>
          <w:rFonts w:hint="eastAsia" w:ascii="仿宋_GB2312" w:eastAsia="仿宋_GB2312" w:cs="仿宋"/>
          <w:sz w:val="32"/>
          <w:szCs w:val="32"/>
        </w:rPr>
        <w:t>2020年自治区高校少数民族预科学生费和住宿费补助资金项目，全年共计资助补助学生1130人，少数民族预科生受助覆盖率为100%，由于第二批资金年末拨入，项目未能按照预期时间完成，受助少数民族预科生全年人均补贴4000元，有效提升了少数民族学生的国语应用能力并强化学生的文化专业水平，学生满意度达到95%；</w:t>
      </w:r>
    </w:p>
    <w:p>
      <w:pPr>
        <w:ind w:firstLine="640"/>
        <w:rPr>
          <w:rFonts w:ascii="仿宋_GB2312" w:eastAsia="仿宋_GB2312" w:cs="仿宋"/>
          <w:sz w:val="32"/>
          <w:szCs w:val="32"/>
        </w:rPr>
      </w:pPr>
      <w:r>
        <w:rPr>
          <w:rFonts w:ascii="仿宋_GB2312" w:eastAsia="仿宋_GB2312" w:cs="仿宋"/>
          <w:sz w:val="32"/>
          <w:szCs w:val="32"/>
        </w:rPr>
        <w:t>2020年南疆四地州及边境贫困县中等职业技术学校学生住宿费、教材费补助资金（自治区资金）</w:t>
      </w:r>
      <w:r>
        <w:rPr>
          <w:rFonts w:hint="eastAsia" w:ascii="仿宋_GB2312" w:eastAsia="仿宋_GB2312" w:cs="仿宋"/>
          <w:sz w:val="32"/>
          <w:szCs w:val="32"/>
        </w:rPr>
        <w:t>项目，全年共计补助学生4308人，资金全部足额到位，中职学生享受免住宿、免教材覆盖率为100%，资金按时到位率为100%，中职免教材补助标准为300元/生/年，中职免住宿费补助标准为600元/生/年，有效减轻学生家庭经济压力，学生及家长满意度达到100%;</w:t>
      </w:r>
    </w:p>
    <w:p>
      <w:pPr>
        <w:ind w:firstLine="640"/>
        <w:rPr>
          <w:rFonts w:ascii="仿宋_GB2312" w:eastAsia="仿宋_GB2312" w:cs="仿宋"/>
          <w:sz w:val="32"/>
          <w:szCs w:val="32"/>
        </w:rPr>
      </w:pPr>
      <w:r>
        <w:rPr>
          <w:rFonts w:ascii="仿宋_GB2312" w:eastAsia="仿宋_GB2312" w:cs="仿宋"/>
          <w:sz w:val="32"/>
          <w:szCs w:val="32"/>
        </w:rPr>
        <w:t>2020年现代职业教育质量提升计划专项资金（高等职业学校）高职生均拨款奖补资金</w:t>
      </w:r>
      <w:r>
        <w:rPr>
          <w:rFonts w:hint="eastAsia" w:ascii="仿宋_GB2312" w:eastAsia="仿宋_GB2312" w:cs="仿宋"/>
          <w:sz w:val="32"/>
          <w:szCs w:val="32"/>
        </w:rPr>
        <w:t>项目，由于受疫情影响，部分专业证书考试取消，1+X证书试点培养人数为53名，1+X证书试点培养参加考证比率为11.6%，1+X证书制度试点启动率为100%,全年使用项目资金6.33万元，能够促进学生职业能力的提升，提升学生就业率；</w:t>
      </w:r>
    </w:p>
    <w:p>
      <w:pPr>
        <w:ind w:firstLine="640"/>
        <w:rPr>
          <w:rFonts w:ascii="仿宋_GB2312" w:eastAsia="仿宋_GB2312" w:cs="仿宋"/>
          <w:sz w:val="32"/>
          <w:szCs w:val="32"/>
        </w:rPr>
      </w:pPr>
      <w:r>
        <w:rPr>
          <w:rFonts w:ascii="仿宋_GB2312" w:eastAsia="仿宋_GB2312" w:cs="仿宋"/>
          <w:sz w:val="32"/>
          <w:szCs w:val="32"/>
        </w:rPr>
        <w:t>高等教育学生资助补助经费</w:t>
      </w:r>
      <w:r>
        <w:rPr>
          <w:rFonts w:hint="eastAsia" w:ascii="仿宋_GB2312" w:eastAsia="仿宋_GB2312" w:cs="仿宋"/>
          <w:sz w:val="32"/>
          <w:szCs w:val="32"/>
        </w:rPr>
        <w:t>项目，全年共奖励国家奖学金学生10名，国家励志奖学金的资助面达到3.3%，国家助学金的资助面达到30.8%，由于服兵役教育资助资金下拨较多，造成服兵役教育资助资金结转，高校毕业生应征入伍应受助学生享受资助比例为100%，奖助学金按时发放率为100%，国家奖学金的标准为8000元/生/年，国家励志奖学金的标准为5000元/生/年，国家助学金的标准为3300元/生/年，从而帮助家庭经济困难学生接受教育，提升受助学生的学习积极性，受助学生及家长满意度达到100%；</w:t>
      </w:r>
    </w:p>
    <w:p>
      <w:pPr>
        <w:ind w:firstLine="640"/>
        <w:rPr>
          <w:rFonts w:ascii="仿宋_GB2312" w:eastAsia="仿宋_GB2312" w:cs="仿宋"/>
          <w:sz w:val="32"/>
          <w:szCs w:val="32"/>
        </w:rPr>
      </w:pPr>
      <w:r>
        <w:rPr>
          <w:rFonts w:ascii="仿宋_GB2312" w:eastAsia="仿宋_GB2312" w:cs="仿宋"/>
          <w:sz w:val="32"/>
          <w:szCs w:val="32"/>
        </w:rPr>
        <w:t>2020年中等职业教育（国家奖学金）资金</w:t>
      </w:r>
      <w:r>
        <w:rPr>
          <w:rFonts w:hint="eastAsia" w:ascii="仿宋_GB2312" w:eastAsia="仿宋_GB2312" w:cs="仿宋"/>
          <w:sz w:val="32"/>
          <w:szCs w:val="32"/>
        </w:rPr>
        <w:t>项目，全年补助5名学生，奖学金足额到位率为100%，由于财政多拨付0.54万元，导致该项目结转入2021年继续执行，中职学生国家奖学金补助标准为6000元/生/年，有效促进了学生学习积极性，受助学生及家长满意度达到100%；</w:t>
      </w:r>
    </w:p>
    <w:p>
      <w:pPr>
        <w:ind w:firstLine="640"/>
        <w:rPr>
          <w:rFonts w:ascii="仿宋_GB2312" w:eastAsia="仿宋_GB2312" w:cs="仿宋"/>
          <w:sz w:val="32"/>
          <w:szCs w:val="32"/>
        </w:rPr>
      </w:pPr>
      <w:r>
        <w:rPr>
          <w:rFonts w:ascii="仿宋_GB2312" w:eastAsia="仿宋_GB2312" w:cs="仿宋"/>
          <w:sz w:val="32"/>
          <w:szCs w:val="32"/>
        </w:rPr>
        <w:t>2020年中等职业教育（国家免学费）资金</w:t>
      </w:r>
      <w:r>
        <w:rPr>
          <w:rFonts w:hint="eastAsia" w:ascii="仿宋_GB2312" w:eastAsia="仿宋_GB2312" w:cs="仿宋"/>
          <w:sz w:val="32"/>
          <w:szCs w:val="32"/>
        </w:rPr>
        <w:t>项目，全年补助学生3605人，中职学生免学费覆盖率为100%，资金足额到位率为100%，中职学生国家免学费资助标准为2000元/生/年，项目有效保障了学校的运转，学生及家长满意度达到100%；</w:t>
      </w:r>
    </w:p>
    <w:p>
      <w:pPr>
        <w:ind w:firstLine="640"/>
        <w:rPr>
          <w:rFonts w:ascii="仿宋_GB2312" w:eastAsia="仿宋_GB2312" w:cs="仿宋"/>
          <w:sz w:val="32"/>
          <w:szCs w:val="32"/>
        </w:rPr>
      </w:pPr>
      <w:r>
        <w:rPr>
          <w:rFonts w:ascii="仿宋_GB2312" w:eastAsia="仿宋_GB2312" w:cs="仿宋"/>
          <w:sz w:val="32"/>
          <w:szCs w:val="32"/>
        </w:rPr>
        <w:t>2020年中等职业学校 （国家助学金）资金</w:t>
      </w:r>
      <w:r>
        <w:rPr>
          <w:rFonts w:hint="eastAsia" w:ascii="仿宋_GB2312" w:eastAsia="仿宋_GB2312" w:cs="仿宋"/>
          <w:sz w:val="32"/>
          <w:szCs w:val="32"/>
        </w:rPr>
        <w:t>项目，全年补助学生1977人，由于学院中职学生招生规模压缩，所以造成资金结转入下一年度，中职学生助学金覆盖率为100%，资金足额到位率为100%，中职学生国家助学金补助标准为2000元/生/年，有效提升了受助学生的学习积极性，学生及家长满意度达到100%；</w:t>
      </w:r>
    </w:p>
    <w:p>
      <w:pPr>
        <w:ind w:firstLine="640"/>
        <w:rPr>
          <w:rFonts w:ascii="仿宋_GB2312" w:eastAsia="仿宋_GB2312" w:cs="仿宋"/>
          <w:sz w:val="32"/>
          <w:szCs w:val="32"/>
        </w:rPr>
      </w:pPr>
      <w:r>
        <w:rPr>
          <w:rFonts w:ascii="仿宋_GB2312" w:eastAsia="仿宋_GB2312" w:cs="仿宋"/>
          <w:sz w:val="32"/>
          <w:szCs w:val="32"/>
        </w:rPr>
        <w:t>2020年中职学校免费教材费补助资金</w:t>
      </w:r>
      <w:r>
        <w:rPr>
          <w:rFonts w:hint="eastAsia" w:ascii="仿宋_GB2312" w:eastAsia="仿宋_GB2312" w:cs="仿宋"/>
          <w:sz w:val="32"/>
          <w:szCs w:val="32"/>
        </w:rPr>
        <w:t>项目，由于学院中职学生招生规模压缩，中职学校免教材费全年补助中职学生3605人，中职生免教材覆盖率为100%，资金已足额到位，中职免教材费补助标准为300元/生/年，由于中职学生使用义务阶段教材，价格较为便宜，所以造成项目资金结转，项目的实施有效促进了学生的学习积极性；</w:t>
      </w:r>
    </w:p>
    <w:p>
      <w:pPr>
        <w:ind w:firstLine="640"/>
        <w:rPr>
          <w:rFonts w:ascii="仿宋_GB2312" w:eastAsia="仿宋_GB2312" w:cs="仿宋"/>
          <w:sz w:val="32"/>
          <w:szCs w:val="32"/>
        </w:rPr>
      </w:pPr>
      <w:r>
        <w:rPr>
          <w:rFonts w:ascii="仿宋_GB2312" w:eastAsia="仿宋_GB2312" w:cs="仿宋"/>
          <w:sz w:val="32"/>
          <w:szCs w:val="32"/>
        </w:rPr>
        <w:t>2020年自治区高校班主任、辅导员岗位补贴资金</w:t>
      </w:r>
      <w:r>
        <w:rPr>
          <w:rFonts w:hint="eastAsia" w:ascii="仿宋_GB2312" w:eastAsia="仿宋_GB2312" w:cs="仿宋"/>
          <w:sz w:val="32"/>
          <w:szCs w:val="32"/>
        </w:rPr>
        <w:t>项目，全年补助辅导员31名，补贴10个月，补助覆盖率为100%，项目在预期时间内完成，辅导员补助标准为300元/月/人，班主任补助标准为生均每月5元，高校班主任辅导员的工作积极性明显提升，辅导员及班主任满意度达到95%；</w:t>
      </w:r>
    </w:p>
    <w:p>
      <w:pPr>
        <w:ind w:firstLine="640"/>
        <w:rPr>
          <w:rFonts w:ascii="仿宋_GB2312" w:eastAsia="仿宋_GB2312" w:cs="仿宋"/>
          <w:sz w:val="32"/>
          <w:szCs w:val="32"/>
        </w:rPr>
      </w:pPr>
      <w:r>
        <w:rPr>
          <w:rFonts w:ascii="仿宋_GB2312" w:eastAsia="仿宋_GB2312" w:cs="仿宋"/>
          <w:sz w:val="32"/>
          <w:szCs w:val="32"/>
        </w:rPr>
        <w:t>2020年自治区医疗服务与保障能力提升（卫生健康人才培训培养项目）补助资金</w:t>
      </w:r>
      <w:r>
        <w:rPr>
          <w:rFonts w:hint="eastAsia" w:ascii="仿宋_GB2312" w:eastAsia="仿宋_GB2312" w:cs="仿宋"/>
          <w:sz w:val="32"/>
          <w:szCs w:val="32"/>
        </w:rPr>
        <w:t>，自治区第二轮农牧区高中起点专科层次医学教育培养人数为30人，健康扶贫乡村医生定向培养项目培养人数543人，培养周期为3年，高中起点专科层次医学教育每年人均培养成本7588元，健康扶贫乡村医生定向培养项目每年人均培养成本1000元，卫生健康人才培训培养有效改善乡村医疗救助条件，提升培训学院的业务技能水平，由于资金为年末下拨，导致预算执行率为0；</w:t>
      </w:r>
    </w:p>
    <w:p>
      <w:pPr>
        <w:ind w:firstLine="640"/>
        <w:rPr>
          <w:rFonts w:ascii="仿宋_GB2312" w:eastAsia="仿宋_GB2312" w:cs="仿宋"/>
          <w:sz w:val="32"/>
          <w:szCs w:val="32"/>
        </w:rPr>
      </w:pPr>
      <w:r>
        <w:rPr>
          <w:rFonts w:ascii="仿宋_GB2312" w:eastAsia="仿宋_GB2312" w:cs="仿宋"/>
          <w:sz w:val="32"/>
          <w:szCs w:val="32"/>
        </w:rPr>
        <w:t>2020年自治区职业教育专项经费（自治区优质高等职业学校建设项目）</w:t>
      </w:r>
      <w:r>
        <w:rPr>
          <w:rFonts w:hint="eastAsia" w:ascii="仿宋_GB2312" w:eastAsia="仿宋_GB2312" w:cs="仿宋"/>
          <w:sz w:val="32"/>
          <w:szCs w:val="32"/>
        </w:rPr>
        <w:t>，该项目资金年末下达，建设期为四年，所以该项目结转下一年度开展；</w:t>
      </w:r>
    </w:p>
    <w:p>
      <w:pPr>
        <w:ind w:firstLine="640"/>
        <w:rPr>
          <w:rFonts w:ascii="仿宋_GB2312" w:eastAsia="仿宋_GB2312" w:cs="仿宋"/>
          <w:sz w:val="32"/>
          <w:szCs w:val="32"/>
        </w:rPr>
      </w:pPr>
      <w:r>
        <w:rPr>
          <w:rFonts w:ascii="仿宋_GB2312" w:eastAsia="仿宋_GB2312" w:cs="仿宋"/>
          <w:sz w:val="32"/>
          <w:szCs w:val="32"/>
        </w:rPr>
        <w:t>2020年自治区职业教育专项经费（自治区职业院校混合所有制试点立项补助资金）</w:t>
      </w:r>
      <w:r>
        <w:rPr>
          <w:rFonts w:hint="eastAsia" w:ascii="仿宋_GB2312" w:eastAsia="仿宋_GB2312" w:cs="仿宋"/>
          <w:sz w:val="32"/>
          <w:szCs w:val="32"/>
        </w:rPr>
        <w:t>，该项目资金年末下达，建设期两年，所以该项目结转下一年度开展。</w:t>
      </w:r>
    </w:p>
    <w:p>
      <w:pPr>
        <w:pStyle w:val="3"/>
        <w:ind w:firstLine="640"/>
        <w:rPr>
          <w:rFonts w:ascii="黑体" w:hAnsi="黑体"/>
          <w:b w:val="0"/>
          <w:sz w:val="32"/>
          <w:szCs w:val="32"/>
        </w:rPr>
      </w:pPr>
      <w:r>
        <w:rPr>
          <w:rFonts w:hint="eastAsia" w:ascii="黑体" w:hAnsi="黑体"/>
          <w:b w:val="0"/>
          <w:sz w:val="32"/>
          <w:szCs w:val="32"/>
        </w:rPr>
        <w:t>四、资产管理情况</w:t>
      </w:r>
    </w:p>
    <w:p>
      <w:pPr>
        <w:pStyle w:val="4"/>
        <w:numPr>
          <w:ilvl w:val="0"/>
          <w:numId w:val="6"/>
        </w:numPr>
        <w:ind w:firstLine="643"/>
        <w:rPr>
          <w:rFonts w:ascii="楷体_GB2312" w:eastAsia="楷体_GB2312"/>
          <w:szCs w:val="32"/>
        </w:rPr>
      </w:pPr>
      <w:r>
        <w:rPr>
          <w:rFonts w:hint="eastAsia" w:ascii="楷体_GB2312" w:eastAsia="楷体_GB2312"/>
          <w:szCs w:val="32"/>
        </w:rPr>
        <w:t>资产情况及固定资产利用情况</w:t>
      </w:r>
    </w:p>
    <w:p>
      <w:pPr>
        <w:ind w:firstLine="640"/>
        <w:rPr>
          <w:rFonts w:ascii="仿宋_GB2312" w:eastAsia="仿宋_GB2312"/>
          <w:sz w:val="32"/>
          <w:szCs w:val="32"/>
        </w:rPr>
      </w:pPr>
      <w:r>
        <w:rPr>
          <w:rFonts w:hint="eastAsia" w:ascii="仿宋_GB2312" w:eastAsia="仿宋_GB2312"/>
          <w:sz w:val="32"/>
          <w:szCs w:val="32"/>
        </w:rPr>
        <w:t>截止2020年12月31日，我单位资产账面总额为30491.25万元，较年初资产总额增加6986.93万元，增长29.73%，其中：</w:t>
      </w:r>
    </w:p>
    <w:p>
      <w:pPr>
        <w:ind w:firstLine="640"/>
        <w:rPr>
          <w:rFonts w:ascii="仿宋_GB2312" w:eastAsia="仿宋_GB2312"/>
          <w:color w:val="FF0000"/>
          <w:sz w:val="32"/>
          <w:szCs w:val="32"/>
        </w:rPr>
      </w:pPr>
      <w:r>
        <w:rPr>
          <w:rFonts w:hint="eastAsia" w:ascii="仿宋_GB2312" w:eastAsia="仿宋_GB2312"/>
          <w:sz w:val="32"/>
          <w:szCs w:val="32"/>
        </w:rPr>
        <w:t>2020年初，流动资产总额为4337.96万元，年末总额为5068.67万元，较年初流动资产增加730.71万元，增长16.8%，主要变动原因是：①年末双师型教师师资培训援疆资金拨入单位账户；②财政局社保科2020年拨入单位基本账户实训室建设资金；③太平洋保险及浙江交通职业技术学院捐助资金。</w:t>
      </w:r>
    </w:p>
    <w:p>
      <w:pPr>
        <w:ind w:firstLine="640"/>
        <w:rPr>
          <w:rFonts w:ascii="仿宋_GB2312" w:eastAsia="仿宋_GB2312"/>
          <w:sz w:val="32"/>
          <w:szCs w:val="32"/>
        </w:rPr>
      </w:pPr>
      <w:r>
        <w:rPr>
          <w:rFonts w:hint="eastAsia" w:ascii="仿宋_GB2312" w:eastAsia="仿宋_GB2312"/>
          <w:sz w:val="32"/>
          <w:szCs w:val="32"/>
        </w:rPr>
        <w:t>2020年初，固定资产总额为19166.36万元，年末总额为25422.58万元，较年初固定资产增加6256.22万元，增长32.6%，主要变动原因是：2020年新增在建工程较多，学院新校区一栋宿舍楼、一栋食堂、一栋教学楼、一栋实训楼在建，导致固定资产增长。</w:t>
      </w:r>
    </w:p>
    <w:p>
      <w:pPr>
        <w:pStyle w:val="4"/>
        <w:numPr>
          <w:ilvl w:val="0"/>
          <w:numId w:val="6"/>
        </w:numPr>
        <w:ind w:firstLine="643"/>
        <w:rPr>
          <w:rFonts w:ascii="楷体_GB2312" w:eastAsia="楷体_GB2312"/>
          <w:szCs w:val="32"/>
        </w:rPr>
      </w:pPr>
      <w:r>
        <w:rPr>
          <w:rFonts w:hint="eastAsia" w:ascii="楷体_GB2312" w:eastAsia="楷体_GB2312"/>
          <w:szCs w:val="32"/>
        </w:rPr>
        <w:t>资产管理规范性分析</w:t>
      </w:r>
    </w:p>
    <w:p>
      <w:pPr>
        <w:ind w:firstLine="643"/>
        <w:jc w:val="left"/>
        <w:rPr>
          <w:rFonts w:ascii="仿宋_GB2312" w:eastAsia="仿宋_GB2312" w:cs="仿宋_GB2312"/>
          <w:color w:val="FF0000"/>
          <w:kern w:val="1"/>
          <w:sz w:val="32"/>
          <w:szCs w:val="32"/>
        </w:rPr>
      </w:pPr>
      <w:r>
        <w:rPr>
          <w:rFonts w:hint="eastAsia" w:ascii="仿宋_GB2312" w:eastAsia="仿宋_GB2312" w:cs="仿宋_GB2312"/>
          <w:b/>
          <w:kern w:val="1"/>
          <w:sz w:val="32"/>
          <w:szCs w:val="32"/>
        </w:rPr>
        <w:t>1.资产管理体制和制度建设方面</w:t>
      </w:r>
    </w:p>
    <w:p>
      <w:pPr>
        <w:ind w:firstLine="681" w:firstLineChars="213"/>
        <w:jc w:val="left"/>
        <w:rPr>
          <w:rFonts w:ascii="仿宋_GB2312" w:eastAsia="仿宋_GB2312" w:cs="仿宋"/>
          <w:kern w:val="1"/>
          <w:sz w:val="32"/>
          <w:szCs w:val="32"/>
        </w:rPr>
      </w:pPr>
      <w:r>
        <w:rPr>
          <w:rFonts w:hint="eastAsia" w:ascii="仿宋_GB2312" w:eastAsia="仿宋_GB2312" w:cs="仿宋"/>
          <w:kern w:val="1"/>
          <w:sz w:val="32"/>
          <w:szCs w:val="32"/>
        </w:rPr>
        <w:t>建立健全资产管理制度，合理配备并节约、有效使用资产，提高资产使用效率，保障资产的安全和完整。管理和使用坚持统一政策、统一领导、分级管理、职责到人、物尽其用的原则。资产办负责对单位资产管理进行指导和监督，对纳入政府采购范围的资产进行统一购置。本单位各科室确定专人负责资产的日常管理工作，包括资产的登记、统计、维护、保管等，并对所管资产的安全完整负有职责。资产管理人员应相对稳定，工作调动时务必办理交接手续。</w:t>
      </w:r>
    </w:p>
    <w:p>
      <w:pPr>
        <w:ind w:firstLine="643"/>
        <w:jc w:val="left"/>
        <w:rPr>
          <w:rFonts w:ascii="仿宋_GB2312" w:eastAsia="仿宋_GB2312" w:cs="仿宋_GB2312"/>
          <w:b/>
          <w:kern w:val="1"/>
          <w:sz w:val="32"/>
          <w:szCs w:val="32"/>
        </w:rPr>
      </w:pPr>
      <w:r>
        <w:rPr>
          <w:rFonts w:hint="eastAsia" w:ascii="仿宋_GB2312" w:eastAsia="仿宋_GB2312" w:cs="仿宋_GB2312"/>
          <w:b/>
          <w:kern w:val="1"/>
          <w:sz w:val="32"/>
          <w:szCs w:val="32"/>
        </w:rPr>
        <w:t>2.运行机制和管理方式</w:t>
      </w:r>
    </w:p>
    <w:p>
      <w:pPr>
        <w:ind w:firstLine="681" w:firstLineChars="213"/>
        <w:jc w:val="left"/>
        <w:rPr>
          <w:rFonts w:ascii="仿宋_GB2312" w:eastAsia="仿宋_GB2312" w:cs="仿宋"/>
          <w:color w:val="FF0000"/>
          <w:kern w:val="1"/>
          <w:sz w:val="32"/>
          <w:szCs w:val="32"/>
        </w:rPr>
      </w:pPr>
      <w:r>
        <w:rPr>
          <w:rFonts w:hint="eastAsia" w:ascii="仿宋_GB2312" w:eastAsia="仿宋_GB2312" w:cs="仿宋"/>
          <w:kern w:val="1"/>
          <w:sz w:val="32"/>
          <w:szCs w:val="32"/>
        </w:rPr>
        <w:t>资产管理由资产部门进行价值核算并设置专人进行资产实物卡片管理及使用状况监督；办公设备由资产办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ind w:firstLine="643"/>
        <w:jc w:val="left"/>
        <w:rPr>
          <w:rFonts w:ascii="仿宋_GB2312" w:eastAsia="仿宋_GB2312" w:cs="仿宋_GB2312"/>
          <w:b/>
          <w:kern w:val="1"/>
          <w:sz w:val="32"/>
          <w:szCs w:val="32"/>
        </w:rPr>
      </w:pPr>
      <w:r>
        <w:rPr>
          <w:rFonts w:hint="eastAsia" w:ascii="仿宋_GB2312" w:eastAsia="仿宋_GB2312" w:cs="仿宋_GB2312"/>
          <w:b/>
          <w:kern w:val="1"/>
          <w:sz w:val="32"/>
          <w:szCs w:val="32"/>
        </w:rPr>
        <w:t>3.信息化建设方面</w:t>
      </w:r>
    </w:p>
    <w:p>
      <w:pPr>
        <w:ind w:firstLine="640"/>
        <w:jc w:val="left"/>
        <w:rPr>
          <w:rFonts w:ascii="仿宋_GB2312" w:eastAsia="仿宋_GB2312" w:cs="仿宋"/>
          <w:color w:val="FF0000"/>
          <w:kern w:val="1"/>
          <w:sz w:val="32"/>
          <w:szCs w:val="32"/>
        </w:rPr>
      </w:pPr>
      <w:r>
        <w:rPr>
          <w:rFonts w:hint="eastAsia" w:ascii="仿宋_GB2312" w:eastAsia="仿宋_GB2312" w:cs="仿宋"/>
          <w:kern w:val="1"/>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ind w:firstLine="643"/>
        <w:jc w:val="left"/>
        <w:rPr>
          <w:rFonts w:ascii="仿宋_GB2312" w:eastAsia="仿宋_GB2312" w:cs="仿宋_GB2312"/>
          <w:b/>
          <w:kern w:val="1"/>
          <w:sz w:val="32"/>
          <w:szCs w:val="32"/>
        </w:rPr>
      </w:pPr>
      <w:r>
        <w:rPr>
          <w:rFonts w:hint="eastAsia" w:ascii="仿宋_GB2312" w:eastAsia="仿宋_GB2312" w:cs="仿宋_GB2312"/>
          <w:b/>
          <w:kern w:val="1"/>
          <w:sz w:val="32"/>
          <w:szCs w:val="32"/>
        </w:rPr>
        <w:t xml:space="preserve"> 4.流动资产的管理</w:t>
      </w:r>
    </w:p>
    <w:p>
      <w:pPr>
        <w:pStyle w:val="10"/>
        <w:widowControl/>
        <w:spacing w:before="40" w:beforeAutospacing="0" w:after="0" w:afterAutospacing="0"/>
        <w:ind w:firstLine="640"/>
        <w:jc w:val="both"/>
        <w:rPr>
          <w:rFonts w:ascii="仿宋_GB2312" w:eastAsia="仿宋_GB2312" w:cs="宋体"/>
          <w:sz w:val="32"/>
          <w:szCs w:val="32"/>
        </w:rPr>
      </w:pPr>
      <w:r>
        <w:rPr>
          <w:rFonts w:hint="eastAsia" w:ascii="仿宋_GB2312" w:eastAsia="仿宋_GB2312" w:cs="宋体"/>
          <w:sz w:val="32"/>
          <w:szCs w:val="32"/>
        </w:rPr>
        <w:t>流动资产严格按照我单位内控体系要求进行管理，无备用金，单位货币资金管理由出纳每日与银行进行对账。</w:t>
      </w:r>
    </w:p>
    <w:p>
      <w:pPr>
        <w:ind w:firstLine="643"/>
        <w:jc w:val="left"/>
        <w:rPr>
          <w:rFonts w:ascii="仿宋_GB2312" w:eastAsia="仿宋_GB2312" w:cs="仿宋_GB2312"/>
          <w:b/>
          <w:kern w:val="1"/>
          <w:sz w:val="32"/>
          <w:szCs w:val="32"/>
        </w:rPr>
      </w:pPr>
      <w:r>
        <w:rPr>
          <w:rFonts w:hint="eastAsia" w:ascii="仿宋_GB2312" w:eastAsia="仿宋_GB2312" w:cs="仿宋_GB2312"/>
          <w:b/>
          <w:kern w:val="1"/>
          <w:sz w:val="32"/>
          <w:szCs w:val="32"/>
        </w:rPr>
        <w:t>5.固定资产的管理</w:t>
      </w:r>
    </w:p>
    <w:p>
      <w:pPr>
        <w:pStyle w:val="10"/>
        <w:widowControl/>
        <w:spacing w:before="40" w:beforeAutospacing="0" w:after="0" w:afterAutospacing="0"/>
        <w:ind w:firstLine="640"/>
        <w:jc w:val="both"/>
        <w:rPr>
          <w:rFonts w:ascii="仿宋_GB2312" w:eastAsia="仿宋_GB2312" w:cs="宋体"/>
          <w:sz w:val="32"/>
          <w:szCs w:val="32"/>
        </w:rPr>
      </w:pPr>
      <w:r>
        <w:rPr>
          <w:rFonts w:hint="eastAsia" w:ascii="仿宋_GB2312" w:eastAsia="仿宋_GB2312" w:cs="宋体"/>
          <w:sz w:val="32"/>
          <w:szCs w:val="32"/>
        </w:rPr>
        <w:t>本单位的资产管理严格按照《行政单位国有资产管理暂行办法》（财政部令第35号）《财政部关于修改〈事业单位国有资产暂行办法〉的决定》（财政部令第100号）的相关要求执行,符合财政部门要求。每年年末定时对我单位的固定资产进行盘点，对盘点过程中发现的盈亏，进行原因查找，并上报单位党组会研究决策，再上报财政行政事业单位资产管理科进行申报再行处理。</w:t>
      </w:r>
    </w:p>
    <w:p>
      <w:pPr>
        <w:pStyle w:val="3"/>
        <w:numPr>
          <w:ilvl w:val="0"/>
          <w:numId w:val="7"/>
        </w:numPr>
        <w:ind w:firstLine="640"/>
        <w:rPr>
          <w:rFonts w:ascii="黑体" w:hAnsi="黑体"/>
          <w:b w:val="0"/>
          <w:sz w:val="32"/>
          <w:szCs w:val="32"/>
        </w:rPr>
      </w:pPr>
      <w:r>
        <w:rPr>
          <w:rFonts w:hint="eastAsia" w:ascii="黑体" w:hAnsi="黑体"/>
          <w:b w:val="0"/>
          <w:sz w:val="32"/>
          <w:szCs w:val="32"/>
        </w:rPr>
        <w:t>部门单位整体支出绩效情况</w:t>
      </w:r>
    </w:p>
    <w:p>
      <w:pPr>
        <w:adjustRightInd w:val="0"/>
        <w:snapToGrid w:val="0"/>
        <w:ind w:firstLine="624"/>
        <w:rPr>
          <w:rFonts w:ascii="仿宋_GB2312" w:eastAsia="仿宋_GB2312"/>
          <w:bCs/>
          <w:spacing w:val="-4"/>
          <w:sz w:val="32"/>
          <w:szCs w:val="32"/>
        </w:rPr>
      </w:pPr>
      <w:r>
        <w:rPr>
          <w:rFonts w:hint="eastAsia" w:ascii="仿宋_GB2312" w:eastAsia="仿宋_GB2312"/>
          <w:bCs/>
          <w:spacing w:val="-4"/>
          <w:sz w:val="32"/>
          <w:szCs w:val="32"/>
        </w:rPr>
        <w:t>2020年度，阿克苏职业技术学院部门单位整体支出绩效目标共设置一级指标3个，二级指标9个，三级指标26个，其中：已完成三级指标24个，指标完成率为92.3%。</w:t>
      </w:r>
    </w:p>
    <w:p>
      <w:pPr>
        <w:pStyle w:val="2"/>
        <w:ind w:firstLine="643"/>
        <w:rPr>
          <w:sz w:val="32"/>
        </w:rPr>
      </w:pPr>
      <w:r>
        <w:rPr>
          <w:rFonts w:hint="eastAsia"/>
          <w:sz w:val="32"/>
        </w:rPr>
        <w:t>1.产出指标完成情况分析</w:t>
      </w:r>
    </w:p>
    <w:p>
      <w:pPr>
        <w:ind w:firstLine="640"/>
        <w:rPr>
          <w:rFonts w:ascii="仿宋_GB2312" w:eastAsia="仿宋_GB2312"/>
          <w:sz w:val="32"/>
          <w:szCs w:val="32"/>
        </w:rPr>
      </w:pPr>
      <w:r>
        <w:rPr>
          <w:rFonts w:hint="eastAsia" w:ascii="仿宋_GB2312" w:eastAsia="仿宋_GB2312"/>
          <w:sz w:val="32"/>
          <w:szCs w:val="32"/>
        </w:rPr>
        <w:t>（1）数量指标</w:t>
      </w:r>
    </w:p>
    <w:p>
      <w:pPr>
        <w:ind w:firstLine="640"/>
        <w:rPr>
          <w:rFonts w:ascii="仿宋_GB2312" w:eastAsia="仿宋_GB2312"/>
          <w:sz w:val="32"/>
          <w:szCs w:val="32"/>
        </w:rPr>
      </w:pPr>
      <w:r>
        <w:rPr>
          <w:rFonts w:hint="eastAsia" w:ascii="仿宋_GB2312" w:eastAsia="仿宋_GB2312"/>
          <w:sz w:val="32"/>
          <w:szCs w:val="32"/>
        </w:rPr>
        <w:t>“保障人员人数”指标：预期指标值为“≥800人”，实际完成指标值为“830人”，指标完成率为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“保障车辆数”指标：预期指标值为“=8辆”，实际完成指标值为“8辆”，指标完成率为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“新增教学仪器设备耗材数”指标：预期指标值为“≥100000件”，实际完成指标值为“58216件”，指标完成率为</w:t>
      </w:r>
      <w:r>
        <w:rPr>
          <w:rFonts w:hint="eastAsia" w:ascii="仿宋_GB2312" w:eastAsia="仿宋_GB2312"/>
          <w:bCs/>
          <w:spacing w:val="-4"/>
          <w:sz w:val="32"/>
          <w:szCs w:val="32"/>
        </w:rPr>
        <w:t>58.2</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“聘用教师数量”指标：预期指标值为“≥100人”，实际完成指标值为“113人”，指标完成率为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“资助补助学生人数”指标：预期指标值为“≥350人”，实际完成指标值为“350人”，指标完成率为</w:t>
      </w:r>
      <w:r>
        <w:rPr>
          <w:rFonts w:hint="eastAsia" w:ascii="仿宋_GB2312" w:eastAsia="仿宋_GB2312"/>
          <w:bCs/>
          <w:spacing w:val="-4"/>
          <w:sz w:val="32"/>
          <w:szCs w:val="32"/>
        </w:rPr>
        <w:t>100</w:t>
      </w:r>
      <w:r>
        <w:rPr>
          <w:rFonts w:hint="eastAsia" w:ascii="仿宋_GB2312" w:eastAsia="仿宋_GB2312"/>
          <w:sz w:val="32"/>
          <w:szCs w:val="32"/>
        </w:rPr>
        <w:t>%。</w:t>
      </w:r>
    </w:p>
    <w:p>
      <w:pPr>
        <w:numPr>
          <w:ilvl w:val="0"/>
          <w:numId w:val="8"/>
        </w:numPr>
        <w:ind w:firstLine="640"/>
        <w:rPr>
          <w:rFonts w:ascii="仿宋_GB2312" w:eastAsia="仿宋_GB2312"/>
          <w:sz w:val="32"/>
          <w:szCs w:val="32"/>
        </w:rPr>
      </w:pPr>
      <w:r>
        <w:rPr>
          <w:rFonts w:hint="eastAsia" w:ascii="仿宋_GB2312" w:eastAsia="仿宋_GB2312"/>
          <w:sz w:val="32"/>
          <w:szCs w:val="32"/>
        </w:rPr>
        <w:t>质量指标</w:t>
      </w:r>
    </w:p>
    <w:p>
      <w:pPr>
        <w:ind w:firstLine="640"/>
        <w:rPr>
          <w:rFonts w:ascii="仿宋_GB2312" w:eastAsia="仿宋_GB2312"/>
          <w:sz w:val="32"/>
          <w:szCs w:val="32"/>
        </w:rPr>
      </w:pPr>
      <w:r>
        <w:rPr>
          <w:rFonts w:hint="eastAsia" w:ascii="仿宋_GB2312" w:eastAsia="仿宋_GB2312"/>
          <w:sz w:val="32"/>
          <w:szCs w:val="32"/>
        </w:rPr>
        <w:t>“采购合格率”指标：预期指标值为“=100%”，实际完成指标值为“100%”，指标完成率为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“保障发放率”指标：预期指标值为“=100%”，实际完成指标值为“100%”，指标完成率为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“补助补贴合规率”指标：预期指标值为“=100%”，实际完成指标值为“100%”，指标完成率为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numPr>
          <w:ilvl w:val="0"/>
          <w:numId w:val="8"/>
        </w:numPr>
        <w:ind w:firstLine="640"/>
        <w:rPr>
          <w:rFonts w:ascii="仿宋_GB2312" w:eastAsia="仿宋_GB2312"/>
          <w:sz w:val="32"/>
          <w:szCs w:val="32"/>
        </w:rPr>
      </w:pPr>
      <w:r>
        <w:rPr>
          <w:rFonts w:hint="eastAsia" w:ascii="仿宋_GB2312" w:eastAsia="仿宋_GB2312"/>
          <w:sz w:val="32"/>
          <w:szCs w:val="32"/>
        </w:rPr>
        <w:t>时效指标</w:t>
      </w:r>
    </w:p>
    <w:p>
      <w:pPr>
        <w:ind w:firstLine="640"/>
        <w:rPr>
          <w:rFonts w:ascii="仿宋_GB2312" w:eastAsia="仿宋_GB2312"/>
          <w:sz w:val="32"/>
          <w:szCs w:val="32"/>
        </w:rPr>
      </w:pPr>
      <w:r>
        <w:rPr>
          <w:rFonts w:hint="eastAsia" w:ascii="仿宋_GB2312" w:eastAsia="仿宋_GB2312"/>
          <w:sz w:val="32"/>
          <w:szCs w:val="32"/>
        </w:rPr>
        <w:t>“个人保障发放及时率”指标：预期指标值为“≥95%”，实际完成指标值为“100%”，指标完成率为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“专项补助按期发放率”指标：预期指标值为“≥90%”，实际完成指标值为“100%”，指标完成率为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“项目按时完工率”指标：预期指标值为“≥90%”，实际完成指标值为“87.5%”，指标完成率为</w:t>
      </w:r>
      <w:r>
        <w:rPr>
          <w:rFonts w:hint="eastAsia" w:ascii="仿宋_GB2312" w:eastAsia="仿宋_GB2312"/>
          <w:bCs/>
          <w:spacing w:val="-4"/>
          <w:sz w:val="32"/>
          <w:szCs w:val="32"/>
        </w:rPr>
        <w:t>97.2</w:t>
      </w:r>
      <w:r>
        <w:rPr>
          <w:rFonts w:hint="eastAsia" w:ascii="仿宋_GB2312" w:eastAsia="仿宋_GB2312"/>
          <w:sz w:val="32"/>
          <w:szCs w:val="32"/>
        </w:rPr>
        <w:t>%。</w:t>
      </w:r>
    </w:p>
    <w:p>
      <w:pPr>
        <w:numPr>
          <w:ilvl w:val="0"/>
          <w:numId w:val="8"/>
        </w:numPr>
        <w:ind w:firstLine="640"/>
        <w:rPr>
          <w:rFonts w:ascii="仿宋_GB2312" w:eastAsia="仿宋_GB2312"/>
          <w:sz w:val="32"/>
          <w:szCs w:val="32"/>
        </w:rPr>
      </w:pPr>
      <w:r>
        <w:rPr>
          <w:rFonts w:hint="eastAsia" w:ascii="仿宋_GB2312" w:eastAsia="仿宋_GB2312"/>
          <w:sz w:val="32"/>
          <w:szCs w:val="32"/>
        </w:rPr>
        <w:t>成本指标</w:t>
      </w:r>
    </w:p>
    <w:p>
      <w:pPr>
        <w:ind w:firstLine="640"/>
        <w:rPr>
          <w:rFonts w:ascii="仿宋_GB2312" w:eastAsia="仿宋_GB2312"/>
          <w:sz w:val="32"/>
          <w:szCs w:val="32"/>
        </w:rPr>
      </w:pPr>
      <w:r>
        <w:rPr>
          <w:rFonts w:hint="eastAsia" w:ascii="仿宋_GB2312" w:eastAsia="仿宋_GB2312"/>
          <w:sz w:val="32"/>
          <w:szCs w:val="32"/>
        </w:rPr>
        <w:t>“工资福利支出”指标：预期指标值为“≤8431.05万元”，实际完成指标值为“8020.86万元”，指标完成率为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“商品服务支出”指标：预期指标值为“≤1984.45万元”，实际完成指标值为“840.4万元”，指标完成率为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“对个人和家庭补助支出”指标：预期指标值为“≤678.04万元”，实际完成指标值为“546.88万元”，指标完成率为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“其他资本性支出”指标：预期指标值为“≤30.6万元”，实际完成指标值为“30.6万元”，指标完成率为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“物资及设备采购成本节约率”指标：预期指标值为“≥10%”，实际完成指标值为“10%”，指标完成率为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pStyle w:val="2"/>
        <w:ind w:firstLine="643"/>
        <w:rPr>
          <w:sz w:val="32"/>
        </w:rPr>
      </w:pPr>
      <w:r>
        <w:rPr>
          <w:rFonts w:hint="eastAsia"/>
          <w:sz w:val="32"/>
        </w:rPr>
        <w:t>2.效益指标完成情况分析</w:t>
      </w:r>
    </w:p>
    <w:p>
      <w:pPr>
        <w:ind w:firstLine="640"/>
        <w:rPr>
          <w:rFonts w:ascii="仿宋_GB2312" w:eastAsia="仿宋_GB2312"/>
          <w:sz w:val="32"/>
          <w:szCs w:val="32"/>
        </w:rPr>
      </w:pPr>
      <w:r>
        <w:rPr>
          <w:rFonts w:hint="eastAsia" w:ascii="仿宋_GB2312" w:eastAsia="仿宋_GB2312"/>
          <w:sz w:val="32"/>
          <w:szCs w:val="32"/>
        </w:rPr>
        <w:t>（1）经济效益</w:t>
      </w:r>
    </w:p>
    <w:p>
      <w:pPr>
        <w:ind w:firstLine="640"/>
        <w:rPr>
          <w:rFonts w:ascii="仿宋_GB2312" w:eastAsia="仿宋_GB2312"/>
          <w:sz w:val="32"/>
          <w:szCs w:val="32"/>
        </w:rPr>
      </w:pPr>
      <w:r>
        <w:rPr>
          <w:rFonts w:hint="eastAsia" w:ascii="仿宋_GB2312" w:eastAsia="仿宋_GB2312"/>
          <w:sz w:val="32"/>
          <w:szCs w:val="32"/>
        </w:rPr>
        <w:t>“中职生家庭每年享受补助补贴金额”指标：预期指标值为“4900元/人/年”，实际完成指标值为“4900元/人/年”，指标完成率为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（2）社会效益</w:t>
      </w:r>
    </w:p>
    <w:p>
      <w:pPr>
        <w:ind w:firstLine="640"/>
        <w:rPr>
          <w:rFonts w:ascii="仿宋_GB2312" w:eastAsia="仿宋_GB2312"/>
          <w:sz w:val="32"/>
          <w:szCs w:val="32"/>
        </w:rPr>
      </w:pPr>
      <w:r>
        <w:rPr>
          <w:rFonts w:hint="eastAsia" w:ascii="仿宋_GB2312" w:eastAsia="仿宋_GB2312"/>
          <w:sz w:val="32"/>
          <w:szCs w:val="32"/>
        </w:rPr>
        <w:t>“教学质量提升情况”指标：预期指标值为“有效提升”，实际完成指标值为“100%”，指标完成率为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“补助人群生活改善情况”指标：预期指标值为“有所改善”，实际完成指标值为“100%”，指标完成率为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pPr>
      <w:r>
        <w:rPr>
          <w:rFonts w:hint="eastAsia" w:ascii="仿宋_GB2312" w:eastAsia="仿宋_GB2312"/>
          <w:sz w:val="32"/>
          <w:szCs w:val="32"/>
        </w:rPr>
        <w:t>“学生辍学率”指标：预期指标值为“≤1%”，实际完成指标值为“0.9%”，指标完成率为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（3）生态效益</w:t>
      </w:r>
    </w:p>
    <w:p>
      <w:pPr>
        <w:ind w:firstLine="640"/>
      </w:pPr>
      <w:r>
        <w:rPr>
          <w:rFonts w:hint="eastAsia" w:ascii="仿宋_GB2312" w:eastAsia="仿宋_GB2312"/>
          <w:sz w:val="32"/>
          <w:szCs w:val="32"/>
        </w:rPr>
        <w:t>“校园绿化面积”指标：预期指标值为“≥100亩”，实际完成指标值为“100亩”，指标完成率为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（4）可持续影响</w:t>
      </w:r>
    </w:p>
    <w:p>
      <w:pPr>
        <w:ind w:firstLine="640"/>
        <w:rPr>
          <w:rFonts w:ascii="仿宋_GB2312" w:eastAsia="仿宋_GB2312"/>
          <w:sz w:val="32"/>
          <w:szCs w:val="32"/>
        </w:rPr>
      </w:pPr>
      <w:r>
        <w:rPr>
          <w:rFonts w:hint="eastAsia" w:ascii="仿宋_GB2312" w:eastAsia="仿宋_GB2312"/>
          <w:sz w:val="32"/>
          <w:szCs w:val="32"/>
        </w:rPr>
        <w:t>“中职生就业率”指标：预期指标值为“≥85%”，实际完成指标值为“92%”，指标完成率为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“高职就业率”指标：预期指标值为“≥85%”，实际完成指标值为“95%”，指标完成率为</w:t>
      </w:r>
      <w:r>
        <w:rPr>
          <w:rFonts w:hint="eastAsia" w:ascii="仿宋_GB2312" w:eastAsia="仿宋_GB2312"/>
          <w:bCs/>
          <w:spacing w:val="-4"/>
          <w:sz w:val="32"/>
          <w:szCs w:val="32"/>
        </w:rPr>
        <w:t>100</w:t>
      </w:r>
      <w:r>
        <w:rPr>
          <w:rFonts w:hint="eastAsia" w:ascii="仿宋_GB2312" w:eastAsia="仿宋_GB2312"/>
          <w:sz w:val="32"/>
          <w:szCs w:val="32"/>
        </w:rPr>
        <w:t>%;</w:t>
      </w:r>
    </w:p>
    <w:p>
      <w:pPr>
        <w:ind w:firstLine="640"/>
        <w:rPr>
          <w:rFonts w:ascii="仿宋_GB2312" w:eastAsia="仿宋_GB2312"/>
          <w:sz w:val="32"/>
          <w:szCs w:val="32"/>
        </w:rPr>
      </w:pPr>
      <w:r>
        <w:rPr>
          <w:rFonts w:hint="eastAsia" w:ascii="仿宋_GB2312" w:eastAsia="仿宋_GB2312"/>
          <w:sz w:val="32"/>
          <w:szCs w:val="32"/>
        </w:rPr>
        <w:t>“职业教育办学能力”指标：预期指标值为“有效提升”，实际完成指标值为“100%”，指标完成率为</w:t>
      </w:r>
      <w:r>
        <w:rPr>
          <w:rFonts w:hint="eastAsia" w:ascii="仿宋_GB2312" w:eastAsia="仿宋_GB2312"/>
          <w:bCs/>
          <w:spacing w:val="-4"/>
          <w:sz w:val="32"/>
          <w:szCs w:val="32"/>
        </w:rPr>
        <w:t>100</w:t>
      </w:r>
      <w:r>
        <w:rPr>
          <w:rFonts w:hint="eastAsia" w:ascii="仿宋_GB2312" w:eastAsia="仿宋_GB2312"/>
          <w:sz w:val="32"/>
          <w:szCs w:val="32"/>
        </w:rPr>
        <w:t>%。</w:t>
      </w:r>
    </w:p>
    <w:p>
      <w:pPr>
        <w:pStyle w:val="2"/>
        <w:ind w:firstLine="643"/>
        <w:rPr>
          <w:sz w:val="32"/>
        </w:rPr>
      </w:pPr>
      <w:r>
        <w:rPr>
          <w:rFonts w:hint="eastAsia"/>
          <w:sz w:val="32"/>
        </w:rPr>
        <w:t>3.满意度指标完成情况分析</w:t>
      </w:r>
    </w:p>
    <w:p>
      <w:pPr>
        <w:kinsoku w:val="0"/>
        <w:ind w:firstLine="640"/>
        <w:rPr>
          <w:rFonts w:ascii="仿宋_GB2312" w:eastAsia="仿宋_GB2312"/>
          <w:sz w:val="32"/>
          <w:szCs w:val="32"/>
        </w:rPr>
      </w:pPr>
      <w:r>
        <w:rPr>
          <w:rFonts w:hint="eastAsia" w:ascii="仿宋_GB2312" w:eastAsia="仿宋_GB2312"/>
          <w:sz w:val="32"/>
          <w:szCs w:val="32"/>
        </w:rPr>
        <w:t>“学生满意度”指标：预期指标值为“≥90%”，实际完成指标值为“95%”，指标完成率为</w:t>
      </w:r>
      <w:r>
        <w:rPr>
          <w:rFonts w:hint="eastAsia" w:ascii="仿宋_GB2312" w:eastAsia="仿宋_GB2312"/>
          <w:bCs/>
          <w:spacing w:val="-4"/>
          <w:sz w:val="32"/>
          <w:szCs w:val="32"/>
        </w:rPr>
        <w:t>100</w:t>
      </w:r>
      <w:r>
        <w:rPr>
          <w:rFonts w:hint="eastAsia" w:ascii="仿宋_GB2312" w:eastAsia="仿宋_GB2312"/>
          <w:sz w:val="32"/>
          <w:szCs w:val="32"/>
        </w:rPr>
        <w:t>%;</w:t>
      </w:r>
    </w:p>
    <w:p>
      <w:pPr>
        <w:kinsoku w:val="0"/>
        <w:ind w:firstLine="640"/>
        <w:rPr>
          <w:rFonts w:ascii="仿宋_GB2312" w:eastAsia="仿宋_GB2312"/>
          <w:sz w:val="32"/>
          <w:szCs w:val="32"/>
        </w:rPr>
      </w:pPr>
      <w:r>
        <w:rPr>
          <w:rFonts w:hint="eastAsia" w:ascii="仿宋_GB2312" w:eastAsia="仿宋_GB2312"/>
          <w:sz w:val="32"/>
          <w:szCs w:val="32"/>
        </w:rPr>
        <w:t>“家长满意度”指标：预期指标值为“≥90%”，实际完成指标值为“95%”，指标完成率为</w:t>
      </w:r>
      <w:r>
        <w:rPr>
          <w:rFonts w:hint="eastAsia" w:ascii="仿宋_GB2312" w:eastAsia="仿宋_GB2312"/>
          <w:bCs/>
          <w:spacing w:val="-4"/>
          <w:sz w:val="32"/>
          <w:szCs w:val="32"/>
        </w:rPr>
        <w:t>100</w:t>
      </w:r>
      <w:r>
        <w:rPr>
          <w:rFonts w:hint="eastAsia" w:ascii="仿宋_GB2312" w:eastAsia="仿宋_GB2312"/>
          <w:sz w:val="32"/>
          <w:szCs w:val="32"/>
        </w:rPr>
        <w:t>%。</w:t>
      </w:r>
    </w:p>
    <w:p>
      <w:pPr>
        <w:pStyle w:val="3"/>
        <w:keepNext w:val="0"/>
        <w:keepLines w:val="0"/>
        <w:ind w:firstLine="640"/>
        <w:rPr>
          <w:rFonts w:ascii="黑体" w:hAnsi="黑体"/>
          <w:b w:val="0"/>
          <w:sz w:val="32"/>
          <w:szCs w:val="32"/>
        </w:rPr>
      </w:pPr>
      <w:r>
        <w:rPr>
          <w:rFonts w:hint="eastAsia" w:ascii="黑体" w:hAnsi="黑体"/>
          <w:b w:val="0"/>
          <w:sz w:val="32"/>
          <w:szCs w:val="32"/>
        </w:rPr>
        <w:t>六、存在的主要问题</w:t>
      </w:r>
    </w:p>
    <w:p>
      <w:pPr>
        <w:pStyle w:val="2"/>
        <w:keepNext w:val="0"/>
        <w:keepLines w:val="0"/>
        <w:ind w:firstLine="624"/>
        <w:rPr>
          <w:b w:val="0"/>
          <w:bCs w:val="0"/>
          <w:sz w:val="32"/>
        </w:rPr>
      </w:pPr>
      <w:r>
        <w:rPr>
          <w:rFonts w:hint="eastAsia"/>
          <w:b w:val="0"/>
          <w:bCs w:val="0"/>
          <w:spacing w:val="-4"/>
          <w:sz w:val="32"/>
        </w:rPr>
        <w:t>2020年本单位整体支出绩效目标中“</w:t>
      </w:r>
      <w:r>
        <w:rPr>
          <w:rFonts w:hint="eastAsia"/>
          <w:b w:val="0"/>
          <w:bCs w:val="0"/>
          <w:sz w:val="32"/>
        </w:rPr>
        <w:t>新增教学仪器设备耗材数</w:t>
      </w:r>
      <w:r>
        <w:rPr>
          <w:rFonts w:hint="eastAsia"/>
          <w:b w:val="0"/>
          <w:bCs w:val="0"/>
          <w:spacing w:val="-4"/>
          <w:sz w:val="32"/>
        </w:rPr>
        <w:t>”未达成预期指标，未完成原因为受疫情影响，学生开学较晚，校外实训及聚集性活动无法开展，所以办公用品及实训耗材使用较少；“项目按时完工率”未达成预期指标，未完成原因为教育教学保障经费项目受疫情影响，实验实训耗材及办公用品采购需求减少，造成该项目未完成。</w:t>
      </w:r>
    </w:p>
    <w:p>
      <w:pPr>
        <w:pStyle w:val="3"/>
        <w:ind w:firstLine="640"/>
        <w:rPr>
          <w:rFonts w:ascii="黑体" w:hAnsi="黑体"/>
          <w:b w:val="0"/>
          <w:sz w:val="32"/>
          <w:szCs w:val="32"/>
        </w:rPr>
      </w:pPr>
      <w:r>
        <w:rPr>
          <w:rFonts w:hint="eastAsia" w:ascii="黑体" w:hAnsi="黑体"/>
          <w:b w:val="0"/>
          <w:sz w:val="32"/>
          <w:szCs w:val="32"/>
        </w:rPr>
        <w:t>七、改进措施和建议</w:t>
      </w:r>
    </w:p>
    <w:p>
      <w:pPr>
        <w:pStyle w:val="2"/>
        <w:keepNext w:val="0"/>
        <w:keepLines w:val="0"/>
        <w:ind w:firstLine="624"/>
        <w:rPr>
          <w:b w:val="0"/>
          <w:bCs w:val="0"/>
          <w:spacing w:val="-4"/>
          <w:sz w:val="32"/>
        </w:rPr>
      </w:pPr>
      <w:r>
        <w:rPr>
          <w:rFonts w:hint="eastAsia"/>
          <w:b w:val="0"/>
          <w:bCs w:val="0"/>
          <w:spacing w:val="-4"/>
          <w:sz w:val="32"/>
        </w:rPr>
        <w:t>2020年部门整体支出绩效评价工作过程中，我单位存在未完成年初预期指标的问题，绩效目标设置有待细化的问题。改进措施：①加强预算绩效管理，提高项目资金使用效益；②加强项目资金绩效目标管理水平，强化相关人员素养，严格落实“谁使用，谁绩效”的工作要求，从而达到项目预期目标设置合理，项目执行规范，项目绩效突出的效果。</w:t>
      </w:r>
    </w:p>
    <w:p>
      <w:pPr>
        <w:pStyle w:val="3"/>
        <w:ind w:firstLine="640"/>
        <w:rPr>
          <w:rFonts w:ascii="黑体" w:hAnsi="黑体"/>
          <w:b w:val="0"/>
          <w:sz w:val="32"/>
          <w:szCs w:val="32"/>
        </w:rPr>
      </w:pPr>
      <w:r>
        <w:rPr>
          <w:rFonts w:hint="eastAsia" w:ascii="黑体" w:hAnsi="黑体"/>
          <w:b w:val="0"/>
          <w:sz w:val="32"/>
          <w:szCs w:val="32"/>
        </w:rPr>
        <w:t>八、附表</w:t>
      </w:r>
    </w:p>
    <w:p>
      <w:pPr>
        <w:ind w:firstLine="640"/>
        <w:rPr>
          <w:rFonts w:ascii="仿宋_GB2312" w:eastAsia="仿宋_GB2312"/>
          <w:sz w:val="32"/>
          <w:szCs w:val="32"/>
        </w:rPr>
      </w:pPr>
      <w:r>
        <w:rPr>
          <w:rFonts w:hint="eastAsia" w:ascii="仿宋_GB2312" w:eastAsia="仿宋_GB2312"/>
          <w:sz w:val="32"/>
          <w:szCs w:val="32"/>
        </w:rPr>
        <w:t>《部门整体支出绩效目标自评表》</w:t>
      </w:r>
    </w:p>
    <w:p>
      <w:pPr>
        <w:pStyle w:val="2"/>
        <w:ind w:firstLine="643"/>
        <w:rPr>
          <w:sz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Malgun Gothic Semilight">
    <w:panose1 w:val="020B0502040204020203"/>
    <w:charset w:val="86"/>
    <w:family w:val="swiss"/>
    <w:pitch w:val="default"/>
    <w:sig w:usb0="900002AF" w:usb1="01D77CFB" w:usb2="00000012" w:usb3="00000000" w:csb0="203E01BD" w:csb1="D7FF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dtPr>
    <w:sdtContent>
      <w:p>
        <w:pPr>
          <w:pStyle w:val="8"/>
          <w:ind w:firstLine="360"/>
          <w:jc w:val="right"/>
        </w:pPr>
        <w:r>
          <w:fldChar w:fldCharType="begin"/>
        </w:r>
        <w:r>
          <w:instrText xml:space="preserve"> PAGE   \* MERGEFORMAT </w:instrText>
        </w:r>
        <w:r>
          <w:fldChar w:fldCharType="separate"/>
        </w:r>
        <w:r>
          <w:rPr>
            <w:lang w:val="zh-CN"/>
          </w:rPr>
          <w:t>26</w:t>
        </w:r>
        <w:r>
          <w:rPr>
            <w:lang w:val="zh-CN"/>
          </w:rPr>
          <w:fldChar w:fldCharType="end"/>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D29B09"/>
    <w:multiLevelType w:val="singleLevel"/>
    <w:tmpl w:val="96D29B09"/>
    <w:lvl w:ilvl="0" w:tentative="0">
      <w:start w:val="1"/>
      <w:numFmt w:val="chineseCounting"/>
      <w:suff w:val="nothing"/>
      <w:lvlText w:val="（%1）"/>
      <w:lvlJc w:val="left"/>
      <w:pPr>
        <w:ind w:left="0" w:firstLine="420"/>
      </w:pPr>
      <w:rPr>
        <w:rFonts w:hint="eastAsia"/>
      </w:rPr>
    </w:lvl>
  </w:abstractNum>
  <w:abstractNum w:abstractNumId="1">
    <w:nsid w:val="C30CD17E"/>
    <w:multiLevelType w:val="singleLevel"/>
    <w:tmpl w:val="C30CD17E"/>
    <w:lvl w:ilvl="0" w:tentative="0">
      <w:start w:val="5"/>
      <w:numFmt w:val="chineseCounting"/>
      <w:suff w:val="nothing"/>
      <w:lvlText w:val="%1、"/>
      <w:lvlJc w:val="left"/>
      <w:rPr>
        <w:rFonts w:hint="eastAsia"/>
      </w:rPr>
    </w:lvl>
  </w:abstractNum>
  <w:abstractNum w:abstractNumId="2">
    <w:nsid w:val="F68CBA3B"/>
    <w:multiLevelType w:val="singleLevel"/>
    <w:tmpl w:val="F68CBA3B"/>
    <w:lvl w:ilvl="0" w:tentative="0">
      <w:start w:val="2"/>
      <w:numFmt w:val="decimal"/>
      <w:suff w:val="nothing"/>
      <w:lvlText w:val="（%1）"/>
      <w:lvlJc w:val="left"/>
    </w:lvl>
  </w:abstractNum>
  <w:abstractNum w:abstractNumId="3">
    <w:nsid w:val="F6B52E37"/>
    <w:multiLevelType w:val="singleLevel"/>
    <w:tmpl w:val="F6B52E37"/>
    <w:lvl w:ilvl="0" w:tentative="0">
      <w:start w:val="2"/>
      <w:numFmt w:val="chineseCounting"/>
      <w:suff w:val="nothing"/>
      <w:lvlText w:val="（%1）"/>
      <w:lvlJc w:val="left"/>
      <w:rPr>
        <w:rFonts w:hint="eastAsia"/>
      </w:rPr>
    </w:lvl>
  </w:abstractNum>
  <w:abstractNum w:abstractNumId="4">
    <w:nsid w:val="FB7AFB3F"/>
    <w:multiLevelType w:val="singleLevel"/>
    <w:tmpl w:val="FB7AFB3F"/>
    <w:lvl w:ilvl="0" w:tentative="0">
      <w:start w:val="2"/>
      <w:numFmt w:val="decimal"/>
      <w:suff w:val="nothing"/>
      <w:lvlText w:val="%1."/>
      <w:lvlJc w:val="left"/>
    </w:lvl>
  </w:abstractNum>
  <w:abstractNum w:abstractNumId="5">
    <w:nsid w:val="225C8922"/>
    <w:multiLevelType w:val="singleLevel"/>
    <w:tmpl w:val="225C8922"/>
    <w:lvl w:ilvl="0" w:tentative="0">
      <w:start w:val="1"/>
      <w:numFmt w:val="decimal"/>
      <w:suff w:val="space"/>
      <w:lvlText w:val="%1."/>
      <w:lvlJc w:val="left"/>
    </w:lvl>
  </w:abstractNum>
  <w:abstractNum w:abstractNumId="6">
    <w:nsid w:val="282FBCCD"/>
    <w:multiLevelType w:val="singleLevel"/>
    <w:tmpl w:val="282FBCCD"/>
    <w:lvl w:ilvl="0" w:tentative="0">
      <w:start w:val="3"/>
      <w:numFmt w:val="chineseCounting"/>
      <w:suff w:val="nothing"/>
      <w:lvlText w:val="（%1）"/>
      <w:lvlJc w:val="left"/>
      <w:rPr>
        <w:rFonts w:hint="eastAsia"/>
      </w:rPr>
    </w:lvl>
  </w:abstractNum>
  <w:abstractNum w:abstractNumId="7">
    <w:nsid w:val="2DF647DA"/>
    <w:multiLevelType w:val="singleLevel"/>
    <w:tmpl w:val="2DF647DA"/>
    <w:lvl w:ilvl="0" w:tentative="0">
      <w:start w:val="1"/>
      <w:numFmt w:val="chineseCounting"/>
      <w:suff w:val="nothing"/>
      <w:lvlText w:val="（%1）"/>
      <w:lvlJc w:val="left"/>
      <w:pPr>
        <w:ind w:left="0" w:firstLine="420"/>
      </w:pPr>
      <w:rPr>
        <w:rFonts w:hint="eastAsia"/>
      </w:rPr>
    </w:lvl>
  </w:abstractNum>
  <w:num w:numId="1">
    <w:abstractNumId w:val="4"/>
  </w:num>
  <w:num w:numId="2">
    <w:abstractNumId w:val="6"/>
  </w:num>
  <w:num w:numId="3">
    <w:abstractNumId w:val="5"/>
  </w:num>
  <w:num w:numId="4">
    <w:abstractNumId w:val="7"/>
  </w:num>
  <w:num w:numId="5">
    <w:abstractNumId w:val="3"/>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40"/>
  <w:drawingGridVerticalSpacing w:val="381"/>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736CA"/>
    <w:rsid w:val="000127F0"/>
    <w:rsid w:val="00012F5F"/>
    <w:rsid w:val="00201A4A"/>
    <w:rsid w:val="002153DD"/>
    <w:rsid w:val="002640E4"/>
    <w:rsid w:val="00326C86"/>
    <w:rsid w:val="003B184C"/>
    <w:rsid w:val="003F473D"/>
    <w:rsid w:val="00455E2F"/>
    <w:rsid w:val="004D4927"/>
    <w:rsid w:val="004D4CD6"/>
    <w:rsid w:val="005736CA"/>
    <w:rsid w:val="005D3F17"/>
    <w:rsid w:val="005E5D6E"/>
    <w:rsid w:val="005F7A93"/>
    <w:rsid w:val="00617C63"/>
    <w:rsid w:val="00722410"/>
    <w:rsid w:val="0077571A"/>
    <w:rsid w:val="007B6305"/>
    <w:rsid w:val="008A1C5E"/>
    <w:rsid w:val="008D5E7B"/>
    <w:rsid w:val="00931A42"/>
    <w:rsid w:val="009443DA"/>
    <w:rsid w:val="00961F8B"/>
    <w:rsid w:val="009D6347"/>
    <w:rsid w:val="009E68A2"/>
    <w:rsid w:val="00A7110C"/>
    <w:rsid w:val="00A720BD"/>
    <w:rsid w:val="00A87301"/>
    <w:rsid w:val="00A95478"/>
    <w:rsid w:val="00AE0359"/>
    <w:rsid w:val="00B00384"/>
    <w:rsid w:val="00BA2E93"/>
    <w:rsid w:val="00BC7E1D"/>
    <w:rsid w:val="00C11C70"/>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52177"/>
    <w:rsid w:val="010F13D0"/>
    <w:rsid w:val="011F4C61"/>
    <w:rsid w:val="012D3D63"/>
    <w:rsid w:val="01330A6C"/>
    <w:rsid w:val="01487A18"/>
    <w:rsid w:val="01720865"/>
    <w:rsid w:val="0189003F"/>
    <w:rsid w:val="01BD7EBA"/>
    <w:rsid w:val="01C42D66"/>
    <w:rsid w:val="01E37D1B"/>
    <w:rsid w:val="02C15BF6"/>
    <w:rsid w:val="0322245D"/>
    <w:rsid w:val="03662758"/>
    <w:rsid w:val="03673532"/>
    <w:rsid w:val="036F2615"/>
    <w:rsid w:val="0379691F"/>
    <w:rsid w:val="038F1A24"/>
    <w:rsid w:val="03BE7262"/>
    <w:rsid w:val="04170247"/>
    <w:rsid w:val="04313FCA"/>
    <w:rsid w:val="046072C6"/>
    <w:rsid w:val="048C34B8"/>
    <w:rsid w:val="04993586"/>
    <w:rsid w:val="049D20FD"/>
    <w:rsid w:val="04C42719"/>
    <w:rsid w:val="04DF6C0B"/>
    <w:rsid w:val="050D0377"/>
    <w:rsid w:val="05456B7E"/>
    <w:rsid w:val="05560765"/>
    <w:rsid w:val="058D51FF"/>
    <w:rsid w:val="05AD1A30"/>
    <w:rsid w:val="06222B2B"/>
    <w:rsid w:val="06401D70"/>
    <w:rsid w:val="06586D46"/>
    <w:rsid w:val="065A4860"/>
    <w:rsid w:val="06662B98"/>
    <w:rsid w:val="066F733E"/>
    <w:rsid w:val="067565EE"/>
    <w:rsid w:val="067716E0"/>
    <w:rsid w:val="06C060E1"/>
    <w:rsid w:val="06DE0B3E"/>
    <w:rsid w:val="06F301EC"/>
    <w:rsid w:val="06F61BCB"/>
    <w:rsid w:val="07012CA8"/>
    <w:rsid w:val="07014925"/>
    <w:rsid w:val="070F6035"/>
    <w:rsid w:val="073C28DF"/>
    <w:rsid w:val="073D47DD"/>
    <w:rsid w:val="07CA63EE"/>
    <w:rsid w:val="07D07530"/>
    <w:rsid w:val="08170519"/>
    <w:rsid w:val="08422E14"/>
    <w:rsid w:val="08436556"/>
    <w:rsid w:val="0856616F"/>
    <w:rsid w:val="08622524"/>
    <w:rsid w:val="086A7EAD"/>
    <w:rsid w:val="08881A41"/>
    <w:rsid w:val="08E604A1"/>
    <w:rsid w:val="08EF03CC"/>
    <w:rsid w:val="09082719"/>
    <w:rsid w:val="092D6339"/>
    <w:rsid w:val="097A0CA3"/>
    <w:rsid w:val="09DA2AA5"/>
    <w:rsid w:val="0A1C2B21"/>
    <w:rsid w:val="0A570F00"/>
    <w:rsid w:val="0AD23979"/>
    <w:rsid w:val="0AE14729"/>
    <w:rsid w:val="0AFC1810"/>
    <w:rsid w:val="0B1C20EF"/>
    <w:rsid w:val="0B4635B9"/>
    <w:rsid w:val="0B6C582B"/>
    <w:rsid w:val="0B735A1E"/>
    <w:rsid w:val="0B927CE4"/>
    <w:rsid w:val="0BB6664C"/>
    <w:rsid w:val="0BCC05A7"/>
    <w:rsid w:val="0C1D3D6A"/>
    <w:rsid w:val="0C37177C"/>
    <w:rsid w:val="0C530064"/>
    <w:rsid w:val="0C8959A0"/>
    <w:rsid w:val="0C9B591B"/>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1B7AA5"/>
    <w:rsid w:val="0F3C74C6"/>
    <w:rsid w:val="0F98252F"/>
    <w:rsid w:val="0FA54807"/>
    <w:rsid w:val="0FE06440"/>
    <w:rsid w:val="1049193F"/>
    <w:rsid w:val="10566744"/>
    <w:rsid w:val="10625CF9"/>
    <w:rsid w:val="10950DBA"/>
    <w:rsid w:val="10B52A92"/>
    <w:rsid w:val="10D40475"/>
    <w:rsid w:val="113051CE"/>
    <w:rsid w:val="114E5553"/>
    <w:rsid w:val="11515346"/>
    <w:rsid w:val="1193547A"/>
    <w:rsid w:val="1199679A"/>
    <w:rsid w:val="11B05911"/>
    <w:rsid w:val="11B513B1"/>
    <w:rsid w:val="11C51460"/>
    <w:rsid w:val="11EA729C"/>
    <w:rsid w:val="12160F32"/>
    <w:rsid w:val="129C5FBF"/>
    <w:rsid w:val="12DD5D87"/>
    <w:rsid w:val="132A631E"/>
    <w:rsid w:val="13332723"/>
    <w:rsid w:val="13336BAF"/>
    <w:rsid w:val="134D7FF4"/>
    <w:rsid w:val="13A27094"/>
    <w:rsid w:val="13B42D72"/>
    <w:rsid w:val="13D06674"/>
    <w:rsid w:val="13D44D7F"/>
    <w:rsid w:val="13F74440"/>
    <w:rsid w:val="14120FE1"/>
    <w:rsid w:val="142C48EB"/>
    <w:rsid w:val="143E5526"/>
    <w:rsid w:val="14703A03"/>
    <w:rsid w:val="1493153C"/>
    <w:rsid w:val="14B33F8F"/>
    <w:rsid w:val="14B36BB1"/>
    <w:rsid w:val="14CE7EE8"/>
    <w:rsid w:val="14F81E1D"/>
    <w:rsid w:val="15343BE6"/>
    <w:rsid w:val="15357338"/>
    <w:rsid w:val="153612FD"/>
    <w:rsid w:val="154136C6"/>
    <w:rsid w:val="15530DDD"/>
    <w:rsid w:val="156F1B1C"/>
    <w:rsid w:val="16050D98"/>
    <w:rsid w:val="164D645C"/>
    <w:rsid w:val="16712C7A"/>
    <w:rsid w:val="167B52F3"/>
    <w:rsid w:val="16811A70"/>
    <w:rsid w:val="16D97F04"/>
    <w:rsid w:val="16DC79A8"/>
    <w:rsid w:val="16F4505A"/>
    <w:rsid w:val="17136C0E"/>
    <w:rsid w:val="17383D5F"/>
    <w:rsid w:val="177D3D5F"/>
    <w:rsid w:val="17C573FD"/>
    <w:rsid w:val="18142FD5"/>
    <w:rsid w:val="18586CA5"/>
    <w:rsid w:val="18647115"/>
    <w:rsid w:val="187B711C"/>
    <w:rsid w:val="18B44DAA"/>
    <w:rsid w:val="18B51710"/>
    <w:rsid w:val="18C44CD5"/>
    <w:rsid w:val="191D76ED"/>
    <w:rsid w:val="193D3C42"/>
    <w:rsid w:val="195864BB"/>
    <w:rsid w:val="19B05D52"/>
    <w:rsid w:val="19B52D75"/>
    <w:rsid w:val="19FC0A98"/>
    <w:rsid w:val="1A0D43A0"/>
    <w:rsid w:val="1A50150C"/>
    <w:rsid w:val="1AE12836"/>
    <w:rsid w:val="1AE925F4"/>
    <w:rsid w:val="1B033ADB"/>
    <w:rsid w:val="1B17473B"/>
    <w:rsid w:val="1B234950"/>
    <w:rsid w:val="1B2706B9"/>
    <w:rsid w:val="1B421E7E"/>
    <w:rsid w:val="1B4E0C06"/>
    <w:rsid w:val="1B64461F"/>
    <w:rsid w:val="1B6B7B31"/>
    <w:rsid w:val="1B9C3AE1"/>
    <w:rsid w:val="1BFD37C7"/>
    <w:rsid w:val="1C0E12CD"/>
    <w:rsid w:val="1C3C0819"/>
    <w:rsid w:val="1C5A6A79"/>
    <w:rsid w:val="1C603202"/>
    <w:rsid w:val="1C606AE2"/>
    <w:rsid w:val="1C9A0200"/>
    <w:rsid w:val="1CCE5055"/>
    <w:rsid w:val="1CD529D6"/>
    <w:rsid w:val="1CE32F9E"/>
    <w:rsid w:val="1D0D7974"/>
    <w:rsid w:val="1DEB6607"/>
    <w:rsid w:val="1DED007E"/>
    <w:rsid w:val="1DFB6F14"/>
    <w:rsid w:val="1E47773B"/>
    <w:rsid w:val="1E4B6E86"/>
    <w:rsid w:val="1EDE6853"/>
    <w:rsid w:val="1F0539AE"/>
    <w:rsid w:val="1F2552C7"/>
    <w:rsid w:val="1F436D0C"/>
    <w:rsid w:val="1F4B31F5"/>
    <w:rsid w:val="1F7D50C8"/>
    <w:rsid w:val="1F893367"/>
    <w:rsid w:val="1FCB3375"/>
    <w:rsid w:val="1FE173B4"/>
    <w:rsid w:val="1FE72E58"/>
    <w:rsid w:val="200667A3"/>
    <w:rsid w:val="20173A7C"/>
    <w:rsid w:val="203B1607"/>
    <w:rsid w:val="20783813"/>
    <w:rsid w:val="20E53B5F"/>
    <w:rsid w:val="20F25F2A"/>
    <w:rsid w:val="20F27184"/>
    <w:rsid w:val="212F5EEF"/>
    <w:rsid w:val="213A4AC2"/>
    <w:rsid w:val="218738BE"/>
    <w:rsid w:val="21B21339"/>
    <w:rsid w:val="21BF20AD"/>
    <w:rsid w:val="21C43928"/>
    <w:rsid w:val="21F330F9"/>
    <w:rsid w:val="22235E02"/>
    <w:rsid w:val="228C2437"/>
    <w:rsid w:val="22AA70CA"/>
    <w:rsid w:val="23585C4E"/>
    <w:rsid w:val="236A7EFE"/>
    <w:rsid w:val="23765811"/>
    <w:rsid w:val="23805685"/>
    <w:rsid w:val="23880F1A"/>
    <w:rsid w:val="23A43F46"/>
    <w:rsid w:val="23BA6588"/>
    <w:rsid w:val="23DC635E"/>
    <w:rsid w:val="23DF7B59"/>
    <w:rsid w:val="244D0485"/>
    <w:rsid w:val="248879F4"/>
    <w:rsid w:val="24A97FDF"/>
    <w:rsid w:val="24BC01CD"/>
    <w:rsid w:val="24C25CD7"/>
    <w:rsid w:val="24D73DEE"/>
    <w:rsid w:val="24D96D65"/>
    <w:rsid w:val="24E04C2E"/>
    <w:rsid w:val="24E64D89"/>
    <w:rsid w:val="25452366"/>
    <w:rsid w:val="256E5D87"/>
    <w:rsid w:val="25770367"/>
    <w:rsid w:val="258917A9"/>
    <w:rsid w:val="25A82154"/>
    <w:rsid w:val="25FC1269"/>
    <w:rsid w:val="2608337D"/>
    <w:rsid w:val="260C06F0"/>
    <w:rsid w:val="2620433E"/>
    <w:rsid w:val="269D5137"/>
    <w:rsid w:val="26BD3A0A"/>
    <w:rsid w:val="26BE70D6"/>
    <w:rsid w:val="26C301BC"/>
    <w:rsid w:val="26D424C1"/>
    <w:rsid w:val="26E81C8F"/>
    <w:rsid w:val="26EF2E07"/>
    <w:rsid w:val="26F02D0C"/>
    <w:rsid w:val="26FD226B"/>
    <w:rsid w:val="27006B49"/>
    <w:rsid w:val="27367DFA"/>
    <w:rsid w:val="273C2CA3"/>
    <w:rsid w:val="277371F3"/>
    <w:rsid w:val="278E79B1"/>
    <w:rsid w:val="27B4492B"/>
    <w:rsid w:val="27C51152"/>
    <w:rsid w:val="28010887"/>
    <w:rsid w:val="282B21A5"/>
    <w:rsid w:val="284171EC"/>
    <w:rsid w:val="28484880"/>
    <w:rsid w:val="286B4689"/>
    <w:rsid w:val="289F2164"/>
    <w:rsid w:val="28B60026"/>
    <w:rsid w:val="29350CD3"/>
    <w:rsid w:val="29784CA5"/>
    <w:rsid w:val="29B80C93"/>
    <w:rsid w:val="29BB20D2"/>
    <w:rsid w:val="29D44C7C"/>
    <w:rsid w:val="29F33C34"/>
    <w:rsid w:val="2A2C26F3"/>
    <w:rsid w:val="2A380298"/>
    <w:rsid w:val="2A3E2A04"/>
    <w:rsid w:val="2A7B46E1"/>
    <w:rsid w:val="2A886FA9"/>
    <w:rsid w:val="2AC64A60"/>
    <w:rsid w:val="2B4B7602"/>
    <w:rsid w:val="2C085CD5"/>
    <w:rsid w:val="2C5033C5"/>
    <w:rsid w:val="2C5401E7"/>
    <w:rsid w:val="2C5C6A3E"/>
    <w:rsid w:val="2C757BAF"/>
    <w:rsid w:val="2C8606C5"/>
    <w:rsid w:val="2C8C2E69"/>
    <w:rsid w:val="2C974E3D"/>
    <w:rsid w:val="2CE31F74"/>
    <w:rsid w:val="2D07338F"/>
    <w:rsid w:val="2DAD5970"/>
    <w:rsid w:val="2DB93477"/>
    <w:rsid w:val="2DF65048"/>
    <w:rsid w:val="2E0773D4"/>
    <w:rsid w:val="2E165B2D"/>
    <w:rsid w:val="2E510358"/>
    <w:rsid w:val="2E9C69DA"/>
    <w:rsid w:val="2EE84ED3"/>
    <w:rsid w:val="2F047E61"/>
    <w:rsid w:val="2F062134"/>
    <w:rsid w:val="2F18281A"/>
    <w:rsid w:val="2F21289E"/>
    <w:rsid w:val="2F8507EF"/>
    <w:rsid w:val="2F912F13"/>
    <w:rsid w:val="30315A18"/>
    <w:rsid w:val="308C4C8C"/>
    <w:rsid w:val="30A14448"/>
    <w:rsid w:val="31077E1B"/>
    <w:rsid w:val="31121DE6"/>
    <w:rsid w:val="314D3489"/>
    <w:rsid w:val="31793EC1"/>
    <w:rsid w:val="31F242FB"/>
    <w:rsid w:val="31F82192"/>
    <w:rsid w:val="32025E0E"/>
    <w:rsid w:val="32031EA3"/>
    <w:rsid w:val="321C166B"/>
    <w:rsid w:val="325B368C"/>
    <w:rsid w:val="32805979"/>
    <w:rsid w:val="32E66065"/>
    <w:rsid w:val="331160AA"/>
    <w:rsid w:val="33436432"/>
    <w:rsid w:val="335C2E8C"/>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4C172B9"/>
    <w:rsid w:val="35031EB5"/>
    <w:rsid w:val="35DE49C0"/>
    <w:rsid w:val="35E848F3"/>
    <w:rsid w:val="35FA7EA7"/>
    <w:rsid w:val="363B291C"/>
    <w:rsid w:val="363E1F63"/>
    <w:rsid w:val="367B2A69"/>
    <w:rsid w:val="36875340"/>
    <w:rsid w:val="36D86481"/>
    <w:rsid w:val="37206D7C"/>
    <w:rsid w:val="375B421F"/>
    <w:rsid w:val="377119D5"/>
    <w:rsid w:val="3789757E"/>
    <w:rsid w:val="37905AF3"/>
    <w:rsid w:val="37A34800"/>
    <w:rsid w:val="37C42836"/>
    <w:rsid w:val="37E02280"/>
    <w:rsid w:val="38026202"/>
    <w:rsid w:val="383B1C65"/>
    <w:rsid w:val="38764896"/>
    <w:rsid w:val="388D632D"/>
    <w:rsid w:val="38962C73"/>
    <w:rsid w:val="38C05FA5"/>
    <w:rsid w:val="38CD3EED"/>
    <w:rsid w:val="38DF1F43"/>
    <w:rsid w:val="390339EB"/>
    <w:rsid w:val="39D66640"/>
    <w:rsid w:val="39EC0CE8"/>
    <w:rsid w:val="3A3453FF"/>
    <w:rsid w:val="3A5C0A17"/>
    <w:rsid w:val="3A8248E0"/>
    <w:rsid w:val="3A9E297A"/>
    <w:rsid w:val="3AEA5695"/>
    <w:rsid w:val="3AF76DD0"/>
    <w:rsid w:val="3B1B7645"/>
    <w:rsid w:val="3B1D07BC"/>
    <w:rsid w:val="3B447872"/>
    <w:rsid w:val="3B4737A3"/>
    <w:rsid w:val="3B474B41"/>
    <w:rsid w:val="3B8D4322"/>
    <w:rsid w:val="3B9508B7"/>
    <w:rsid w:val="3BCE13F3"/>
    <w:rsid w:val="3BD2350C"/>
    <w:rsid w:val="3C071D01"/>
    <w:rsid w:val="3C463454"/>
    <w:rsid w:val="3CB8225F"/>
    <w:rsid w:val="3CDF1FAA"/>
    <w:rsid w:val="3CFC0EF8"/>
    <w:rsid w:val="3D1026F3"/>
    <w:rsid w:val="3D3F08CF"/>
    <w:rsid w:val="3DB561A7"/>
    <w:rsid w:val="3E4605A5"/>
    <w:rsid w:val="3E5049D6"/>
    <w:rsid w:val="3E6F122B"/>
    <w:rsid w:val="3E7865FD"/>
    <w:rsid w:val="3E7F0D7D"/>
    <w:rsid w:val="3E880E32"/>
    <w:rsid w:val="3EC65777"/>
    <w:rsid w:val="3F24659E"/>
    <w:rsid w:val="3F2E2C76"/>
    <w:rsid w:val="3F3B5C85"/>
    <w:rsid w:val="3F3E0088"/>
    <w:rsid w:val="3F645320"/>
    <w:rsid w:val="3F6E51CB"/>
    <w:rsid w:val="3F9206CB"/>
    <w:rsid w:val="40006CAB"/>
    <w:rsid w:val="40085D42"/>
    <w:rsid w:val="401037E4"/>
    <w:rsid w:val="402E562B"/>
    <w:rsid w:val="4046343E"/>
    <w:rsid w:val="40463EAA"/>
    <w:rsid w:val="405007A0"/>
    <w:rsid w:val="4061544C"/>
    <w:rsid w:val="40710710"/>
    <w:rsid w:val="40B117DF"/>
    <w:rsid w:val="40F61FC7"/>
    <w:rsid w:val="410A06F9"/>
    <w:rsid w:val="4125037B"/>
    <w:rsid w:val="413357D7"/>
    <w:rsid w:val="41447D45"/>
    <w:rsid w:val="41485DBC"/>
    <w:rsid w:val="41977304"/>
    <w:rsid w:val="41CD393D"/>
    <w:rsid w:val="41F949FB"/>
    <w:rsid w:val="421630C6"/>
    <w:rsid w:val="422B5E31"/>
    <w:rsid w:val="4252595A"/>
    <w:rsid w:val="426B4FC7"/>
    <w:rsid w:val="431303CA"/>
    <w:rsid w:val="437D70AD"/>
    <w:rsid w:val="43826A74"/>
    <w:rsid w:val="4389139C"/>
    <w:rsid w:val="43B216A1"/>
    <w:rsid w:val="43B22635"/>
    <w:rsid w:val="43DC59FD"/>
    <w:rsid w:val="44016A8B"/>
    <w:rsid w:val="441B763D"/>
    <w:rsid w:val="443F0A8A"/>
    <w:rsid w:val="44483F56"/>
    <w:rsid w:val="444C0E2A"/>
    <w:rsid w:val="446E78D2"/>
    <w:rsid w:val="44703E7E"/>
    <w:rsid w:val="44867A3B"/>
    <w:rsid w:val="44FD5F6B"/>
    <w:rsid w:val="450C3B52"/>
    <w:rsid w:val="450F1ADE"/>
    <w:rsid w:val="45103FCB"/>
    <w:rsid w:val="4512666F"/>
    <w:rsid w:val="45852FD0"/>
    <w:rsid w:val="458E7F08"/>
    <w:rsid w:val="45B242B5"/>
    <w:rsid w:val="45E33D03"/>
    <w:rsid w:val="46751144"/>
    <w:rsid w:val="46D17A2C"/>
    <w:rsid w:val="46EE1246"/>
    <w:rsid w:val="470109B9"/>
    <w:rsid w:val="47067546"/>
    <w:rsid w:val="472D7E82"/>
    <w:rsid w:val="474801E9"/>
    <w:rsid w:val="477232C8"/>
    <w:rsid w:val="478C46CC"/>
    <w:rsid w:val="47AF67A7"/>
    <w:rsid w:val="47B339B4"/>
    <w:rsid w:val="47CB1091"/>
    <w:rsid w:val="48035F02"/>
    <w:rsid w:val="4860434A"/>
    <w:rsid w:val="488B4F8B"/>
    <w:rsid w:val="48D908C8"/>
    <w:rsid w:val="490010A1"/>
    <w:rsid w:val="493537CF"/>
    <w:rsid w:val="49460D45"/>
    <w:rsid w:val="49960BF1"/>
    <w:rsid w:val="4A3B5263"/>
    <w:rsid w:val="4A74195A"/>
    <w:rsid w:val="4A7A3D76"/>
    <w:rsid w:val="4A8B6AB4"/>
    <w:rsid w:val="4A9F3033"/>
    <w:rsid w:val="4AAE190E"/>
    <w:rsid w:val="4AE70AB8"/>
    <w:rsid w:val="4B623C5A"/>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9D6C5F"/>
    <w:rsid w:val="4EB01144"/>
    <w:rsid w:val="4ED065C7"/>
    <w:rsid w:val="4ED60D0E"/>
    <w:rsid w:val="4F5E0911"/>
    <w:rsid w:val="4F63154E"/>
    <w:rsid w:val="4F6C7D95"/>
    <w:rsid w:val="4F7B7863"/>
    <w:rsid w:val="4FBC77EB"/>
    <w:rsid w:val="4FBD4AFA"/>
    <w:rsid w:val="4FF74142"/>
    <w:rsid w:val="50206576"/>
    <w:rsid w:val="50303A7C"/>
    <w:rsid w:val="503D266C"/>
    <w:rsid w:val="50453781"/>
    <w:rsid w:val="50482930"/>
    <w:rsid w:val="50A26FF3"/>
    <w:rsid w:val="510A3EAE"/>
    <w:rsid w:val="51525315"/>
    <w:rsid w:val="515C17D5"/>
    <w:rsid w:val="519223A8"/>
    <w:rsid w:val="51AC70A8"/>
    <w:rsid w:val="51B45CF8"/>
    <w:rsid w:val="51CB5559"/>
    <w:rsid w:val="51F3173A"/>
    <w:rsid w:val="520F3713"/>
    <w:rsid w:val="525C2B19"/>
    <w:rsid w:val="52CF7054"/>
    <w:rsid w:val="52EA6EF6"/>
    <w:rsid w:val="52FD6971"/>
    <w:rsid w:val="53223E56"/>
    <w:rsid w:val="53275AB8"/>
    <w:rsid w:val="537D5DC6"/>
    <w:rsid w:val="5388089F"/>
    <w:rsid w:val="53B05A8D"/>
    <w:rsid w:val="53D745FA"/>
    <w:rsid w:val="53E40714"/>
    <w:rsid w:val="53FD29C3"/>
    <w:rsid w:val="541F5ED8"/>
    <w:rsid w:val="54467244"/>
    <w:rsid w:val="54511C79"/>
    <w:rsid w:val="54520573"/>
    <w:rsid w:val="54574A6E"/>
    <w:rsid w:val="54752FFE"/>
    <w:rsid w:val="547D34B8"/>
    <w:rsid w:val="548D7C01"/>
    <w:rsid w:val="54942775"/>
    <w:rsid w:val="549C09C3"/>
    <w:rsid w:val="549C23F0"/>
    <w:rsid w:val="54B8713B"/>
    <w:rsid w:val="55132799"/>
    <w:rsid w:val="55213C26"/>
    <w:rsid w:val="55260621"/>
    <w:rsid w:val="55A768F4"/>
    <w:rsid w:val="55B62452"/>
    <w:rsid w:val="55FE78A0"/>
    <w:rsid w:val="56253786"/>
    <w:rsid w:val="562D3283"/>
    <w:rsid w:val="565A4845"/>
    <w:rsid w:val="566C0CF7"/>
    <w:rsid w:val="569156EC"/>
    <w:rsid w:val="569906EF"/>
    <w:rsid w:val="56CE2C6C"/>
    <w:rsid w:val="56E95104"/>
    <w:rsid w:val="56F77686"/>
    <w:rsid w:val="570939DA"/>
    <w:rsid w:val="571924B2"/>
    <w:rsid w:val="572109E0"/>
    <w:rsid w:val="5747400E"/>
    <w:rsid w:val="575751FD"/>
    <w:rsid w:val="578A3F51"/>
    <w:rsid w:val="57CC6BA1"/>
    <w:rsid w:val="57CE3E29"/>
    <w:rsid w:val="581B6FA6"/>
    <w:rsid w:val="581F03F4"/>
    <w:rsid w:val="58C6039F"/>
    <w:rsid w:val="58F37117"/>
    <w:rsid w:val="594D3747"/>
    <w:rsid w:val="596F52DD"/>
    <w:rsid w:val="59783883"/>
    <w:rsid w:val="599801D7"/>
    <w:rsid w:val="59BE14BB"/>
    <w:rsid w:val="59E91E58"/>
    <w:rsid w:val="59FC0BBB"/>
    <w:rsid w:val="5A0207F8"/>
    <w:rsid w:val="5A054327"/>
    <w:rsid w:val="5A0F7C73"/>
    <w:rsid w:val="5A100CE1"/>
    <w:rsid w:val="5A1256F7"/>
    <w:rsid w:val="5A132397"/>
    <w:rsid w:val="5A2E42CD"/>
    <w:rsid w:val="5A3E4C1F"/>
    <w:rsid w:val="5A7F37F9"/>
    <w:rsid w:val="5A837878"/>
    <w:rsid w:val="5A9E7D61"/>
    <w:rsid w:val="5AB5421F"/>
    <w:rsid w:val="5B0C31BE"/>
    <w:rsid w:val="5B345F2E"/>
    <w:rsid w:val="5B767297"/>
    <w:rsid w:val="5B831E5A"/>
    <w:rsid w:val="5B887615"/>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731E42"/>
    <w:rsid w:val="5D8627AD"/>
    <w:rsid w:val="5DAA0B93"/>
    <w:rsid w:val="5DCA1EC8"/>
    <w:rsid w:val="5DCE0E18"/>
    <w:rsid w:val="5E2A4BFC"/>
    <w:rsid w:val="5E585615"/>
    <w:rsid w:val="5EAC236D"/>
    <w:rsid w:val="5EBC36B9"/>
    <w:rsid w:val="5EDB0D8B"/>
    <w:rsid w:val="5EF37194"/>
    <w:rsid w:val="5F3732A8"/>
    <w:rsid w:val="5F65333E"/>
    <w:rsid w:val="5FCC33D8"/>
    <w:rsid w:val="60033350"/>
    <w:rsid w:val="602266C7"/>
    <w:rsid w:val="603B7C36"/>
    <w:rsid w:val="60534AA3"/>
    <w:rsid w:val="60680187"/>
    <w:rsid w:val="60832CD9"/>
    <w:rsid w:val="60CB1B4D"/>
    <w:rsid w:val="60DC42D6"/>
    <w:rsid w:val="61217D14"/>
    <w:rsid w:val="613172F2"/>
    <w:rsid w:val="6142313B"/>
    <w:rsid w:val="614D3BC8"/>
    <w:rsid w:val="618F1CE4"/>
    <w:rsid w:val="61AC696F"/>
    <w:rsid w:val="61B9511D"/>
    <w:rsid w:val="61CE240F"/>
    <w:rsid w:val="61D23BCD"/>
    <w:rsid w:val="621B32ED"/>
    <w:rsid w:val="62302D5E"/>
    <w:rsid w:val="62A43EEF"/>
    <w:rsid w:val="63277530"/>
    <w:rsid w:val="63317FEF"/>
    <w:rsid w:val="6352384A"/>
    <w:rsid w:val="638443C1"/>
    <w:rsid w:val="64340981"/>
    <w:rsid w:val="644B1C20"/>
    <w:rsid w:val="6471055F"/>
    <w:rsid w:val="64AE7D1C"/>
    <w:rsid w:val="64B97E4E"/>
    <w:rsid w:val="64C303D9"/>
    <w:rsid w:val="64EF26CC"/>
    <w:rsid w:val="64EF5E24"/>
    <w:rsid w:val="652B7127"/>
    <w:rsid w:val="656B579F"/>
    <w:rsid w:val="656E592B"/>
    <w:rsid w:val="65A165E9"/>
    <w:rsid w:val="65C14A06"/>
    <w:rsid w:val="65C15488"/>
    <w:rsid w:val="660D76B4"/>
    <w:rsid w:val="664423A4"/>
    <w:rsid w:val="667136F9"/>
    <w:rsid w:val="66841ED9"/>
    <w:rsid w:val="66B24A2C"/>
    <w:rsid w:val="66CF37D3"/>
    <w:rsid w:val="67024FEA"/>
    <w:rsid w:val="671073D1"/>
    <w:rsid w:val="671D36E8"/>
    <w:rsid w:val="67222610"/>
    <w:rsid w:val="678E06CE"/>
    <w:rsid w:val="679A602D"/>
    <w:rsid w:val="67E028BC"/>
    <w:rsid w:val="67E05CDD"/>
    <w:rsid w:val="68537B47"/>
    <w:rsid w:val="68620DC9"/>
    <w:rsid w:val="68A9552D"/>
    <w:rsid w:val="68C330AE"/>
    <w:rsid w:val="68D52CCF"/>
    <w:rsid w:val="68E45DE3"/>
    <w:rsid w:val="691D1344"/>
    <w:rsid w:val="6934149F"/>
    <w:rsid w:val="6958671E"/>
    <w:rsid w:val="698A37AA"/>
    <w:rsid w:val="6A281A45"/>
    <w:rsid w:val="6A3362B3"/>
    <w:rsid w:val="6A3B618C"/>
    <w:rsid w:val="6A660FEC"/>
    <w:rsid w:val="6A9B0367"/>
    <w:rsid w:val="6AA103CB"/>
    <w:rsid w:val="6AA75408"/>
    <w:rsid w:val="6AE30A31"/>
    <w:rsid w:val="6B182CCA"/>
    <w:rsid w:val="6B244A9D"/>
    <w:rsid w:val="6B2560EF"/>
    <w:rsid w:val="6B4D19C5"/>
    <w:rsid w:val="6B5F2BF8"/>
    <w:rsid w:val="6B737395"/>
    <w:rsid w:val="6BD55D0B"/>
    <w:rsid w:val="6BD83CC4"/>
    <w:rsid w:val="6BDC47ED"/>
    <w:rsid w:val="6BF1112B"/>
    <w:rsid w:val="6BF76F4D"/>
    <w:rsid w:val="6C0A4626"/>
    <w:rsid w:val="6C1B3303"/>
    <w:rsid w:val="6C1B55BA"/>
    <w:rsid w:val="6C3E28BF"/>
    <w:rsid w:val="6C3F33CD"/>
    <w:rsid w:val="6C7A7040"/>
    <w:rsid w:val="6C805FED"/>
    <w:rsid w:val="6C8132A9"/>
    <w:rsid w:val="6C93391A"/>
    <w:rsid w:val="6C9E6020"/>
    <w:rsid w:val="6CAA4D6A"/>
    <w:rsid w:val="6CC70826"/>
    <w:rsid w:val="6CD77821"/>
    <w:rsid w:val="6D0A6DBB"/>
    <w:rsid w:val="6D1B40FE"/>
    <w:rsid w:val="6D40311C"/>
    <w:rsid w:val="6DB167DD"/>
    <w:rsid w:val="6DB43590"/>
    <w:rsid w:val="6DB84EBA"/>
    <w:rsid w:val="6DBD09DB"/>
    <w:rsid w:val="6DC94353"/>
    <w:rsid w:val="6E1F546B"/>
    <w:rsid w:val="6E2D7393"/>
    <w:rsid w:val="6E4A4DCD"/>
    <w:rsid w:val="6E6E6F1D"/>
    <w:rsid w:val="6E985F27"/>
    <w:rsid w:val="6EA63453"/>
    <w:rsid w:val="6EF11600"/>
    <w:rsid w:val="6F1369DC"/>
    <w:rsid w:val="6F1C4DB2"/>
    <w:rsid w:val="6F293DA9"/>
    <w:rsid w:val="6F6A53B1"/>
    <w:rsid w:val="6FC83C68"/>
    <w:rsid w:val="6FCE226C"/>
    <w:rsid w:val="6FF67EDB"/>
    <w:rsid w:val="704B1B87"/>
    <w:rsid w:val="706747BD"/>
    <w:rsid w:val="707165D4"/>
    <w:rsid w:val="7087524A"/>
    <w:rsid w:val="70A93F9B"/>
    <w:rsid w:val="70BF78D7"/>
    <w:rsid w:val="70E95E6A"/>
    <w:rsid w:val="70F14B4C"/>
    <w:rsid w:val="712F11E7"/>
    <w:rsid w:val="716160AB"/>
    <w:rsid w:val="71790E9D"/>
    <w:rsid w:val="717A6C89"/>
    <w:rsid w:val="71AC1A5C"/>
    <w:rsid w:val="71CD17F6"/>
    <w:rsid w:val="71D4229F"/>
    <w:rsid w:val="72117E7E"/>
    <w:rsid w:val="723B41CF"/>
    <w:rsid w:val="728971FB"/>
    <w:rsid w:val="72D06024"/>
    <w:rsid w:val="733878DA"/>
    <w:rsid w:val="734779C2"/>
    <w:rsid w:val="7372294D"/>
    <w:rsid w:val="737904F9"/>
    <w:rsid w:val="73BF73C1"/>
    <w:rsid w:val="73C23920"/>
    <w:rsid w:val="73D064E7"/>
    <w:rsid w:val="73F201AA"/>
    <w:rsid w:val="73F56F27"/>
    <w:rsid w:val="745B34EC"/>
    <w:rsid w:val="745E33A9"/>
    <w:rsid w:val="74802249"/>
    <w:rsid w:val="74EB4810"/>
    <w:rsid w:val="75155729"/>
    <w:rsid w:val="75196DA0"/>
    <w:rsid w:val="75266207"/>
    <w:rsid w:val="75763149"/>
    <w:rsid w:val="75EC029E"/>
    <w:rsid w:val="75F5233E"/>
    <w:rsid w:val="76042CB9"/>
    <w:rsid w:val="765D19FC"/>
    <w:rsid w:val="76803CB3"/>
    <w:rsid w:val="769B14BB"/>
    <w:rsid w:val="76AA596C"/>
    <w:rsid w:val="76CF0956"/>
    <w:rsid w:val="76DF2EC8"/>
    <w:rsid w:val="76EB0D54"/>
    <w:rsid w:val="77045F8B"/>
    <w:rsid w:val="771C6744"/>
    <w:rsid w:val="7771110B"/>
    <w:rsid w:val="77782D28"/>
    <w:rsid w:val="77C20123"/>
    <w:rsid w:val="77F538F8"/>
    <w:rsid w:val="788A3DEB"/>
    <w:rsid w:val="78D6469A"/>
    <w:rsid w:val="78D82626"/>
    <w:rsid w:val="79057703"/>
    <w:rsid w:val="79111AC7"/>
    <w:rsid w:val="79250D71"/>
    <w:rsid w:val="794E098B"/>
    <w:rsid w:val="799E36F7"/>
    <w:rsid w:val="79F3334C"/>
    <w:rsid w:val="7A150EF7"/>
    <w:rsid w:val="7A2E1812"/>
    <w:rsid w:val="7A7029D6"/>
    <w:rsid w:val="7A751437"/>
    <w:rsid w:val="7A846429"/>
    <w:rsid w:val="7AB2209C"/>
    <w:rsid w:val="7ACB6E73"/>
    <w:rsid w:val="7B033D7C"/>
    <w:rsid w:val="7B233171"/>
    <w:rsid w:val="7B3943CF"/>
    <w:rsid w:val="7B634CE1"/>
    <w:rsid w:val="7B9C2512"/>
    <w:rsid w:val="7BF41842"/>
    <w:rsid w:val="7BFB110F"/>
    <w:rsid w:val="7C09409A"/>
    <w:rsid w:val="7C287D7E"/>
    <w:rsid w:val="7C3825FA"/>
    <w:rsid w:val="7CD32DB5"/>
    <w:rsid w:val="7D4B33BB"/>
    <w:rsid w:val="7D7C4CEA"/>
    <w:rsid w:val="7D866779"/>
    <w:rsid w:val="7D9F3F02"/>
    <w:rsid w:val="7DED3353"/>
    <w:rsid w:val="7E3905D9"/>
    <w:rsid w:val="7E5F0EE8"/>
    <w:rsid w:val="7E7506DB"/>
    <w:rsid w:val="7E851F96"/>
    <w:rsid w:val="7EAB0E13"/>
    <w:rsid w:val="7EB2667C"/>
    <w:rsid w:val="7EC2743D"/>
    <w:rsid w:val="7EC854AC"/>
    <w:rsid w:val="7EF90802"/>
    <w:rsid w:val="7F191C23"/>
    <w:rsid w:val="7F961180"/>
    <w:rsid w:val="7FD25BD3"/>
    <w:rsid w:val="7FDC49AB"/>
    <w:rsid w:val="7FDF65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2"/>
    <w:qFormat/>
    <w:uiPriority w:val="0"/>
    <w:pPr>
      <w:spacing w:line="240" w:lineRule="auto"/>
    </w:pPr>
    <w:rPr>
      <w:sz w:val="18"/>
      <w:szCs w:val="18"/>
    </w:rPr>
  </w:style>
  <w:style w:type="paragraph" w:styleId="8">
    <w:name w:val="footer"/>
    <w:basedOn w:val="1"/>
    <w:link w:val="21"/>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character" w:styleId="13">
    <w:name w:val="Strong"/>
    <w:basedOn w:val="12"/>
    <w:qFormat/>
    <w:uiPriority w:val="0"/>
    <w:rPr>
      <w:b/>
      <w:bCs/>
    </w:rPr>
  </w:style>
  <w:style w:type="paragraph" w:customStyle="1" w:styleId="14">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styleId="15">
    <w:name w:val="List Paragraph"/>
    <w:basedOn w:val="1"/>
    <w:unhideWhenUsed/>
    <w:qFormat/>
    <w:uiPriority w:val="99"/>
    <w:pPr>
      <w:ind w:firstLine="420"/>
    </w:pPr>
  </w:style>
  <w:style w:type="paragraph" w:customStyle="1" w:styleId="16">
    <w:name w:val="样式1"/>
    <w:basedOn w:val="1"/>
    <w:link w:val="18"/>
    <w:qFormat/>
    <w:uiPriority w:val="0"/>
    <w:pPr>
      <w:ind w:firstLine="560"/>
    </w:pPr>
  </w:style>
  <w:style w:type="paragraph" w:customStyle="1" w:styleId="17">
    <w:name w:val="样式2"/>
    <w:basedOn w:val="9"/>
    <w:link w:val="20"/>
    <w:qFormat/>
    <w:uiPriority w:val="0"/>
    <w:pPr>
      <w:pBdr>
        <w:bottom w:val="none" w:color="auto" w:sz="0" w:space="0"/>
      </w:pBdr>
      <w:ind w:firstLine="360"/>
    </w:pPr>
  </w:style>
  <w:style w:type="character" w:customStyle="1" w:styleId="18">
    <w:name w:val="样式1 Char"/>
    <w:basedOn w:val="12"/>
    <w:link w:val="16"/>
    <w:qFormat/>
    <w:uiPriority w:val="0"/>
    <w:rPr>
      <w:rFonts w:ascii="仿宋" w:hAnsi="仿宋" w:eastAsia="仿宋"/>
      <w:kern w:val="2"/>
      <w:sz w:val="28"/>
      <w:szCs w:val="24"/>
    </w:rPr>
  </w:style>
  <w:style w:type="character" w:customStyle="1" w:styleId="19">
    <w:name w:val="页眉 Char"/>
    <w:basedOn w:val="12"/>
    <w:link w:val="9"/>
    <w:qFormat/>
    <w:uiPriority w:val="99"/>
    <w:rPr>
      <w:rFonts w:ascii="仿宋" w:hAnsi="仿宋" w:eastAsia="仿宋"/>
      <w:kern w:val="2"/>
      <w:sz w:val="18"/>
      <w:szCs w:val="18"/>
    </w:rPr>
  </w:style>
  <w:style w:type="character" w:customStyle="1" w:styleId="20">
    <w:name w:val="样式2 Char"/>
    <w:basedOn w:val="19"/>
    <w:link w:val="17"/>
    <w:qFormat/>
    <w:uiPriority w:val="0"/>
  </w:style>
  <w:style w:type="character" w:customStyle="1" w:styleId="21">
    <w:name w:val="页脚 Char"/>
    <w:basedOn w:val="12"/>
    <w:link w:val="8"/>
    <w:qFormat/>
    <w:uiPriority w:val="99"/>
    <w:rPr>
      <w:rFonts w:eastAsia="仿宋"/>
      <w:kern w:val="2"/>
      <w:sz w:val="18"/>
      <w:szCs w:val="24"/>
    </w:rPr>
  </w:style>
  <w:style w:type="character" w:customStyle="1" w:styleId="22">
    <w:name w:val="批注框文本 Char"/>
    <w:basedOn w:val="12"/>
    <w:link w:val="7"/>
    <w:qFormat/>
    <w:uiPriority w:val="0"/>
    <w:rPr>
      <w:rFonts w:ascii="仿宋" w:hAnsi="仿宋" w:eastAsia="仿宋"/>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26</Pages>
  <Words>11905</Words>
  <Characters>1850</Characters>
  <Lines>15</Lines>
  <Paragraphs>27</Paragraphs>
  <TotalTime>20</TotalTime>
  <ScaleCrop>false</ScaleCrop>
  <LinksUpToDate>false</LinksUpToDate>
  <CharactersWithSpaces>13728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刘亚楠</cp:lastModifiedBy>
  <dcterms:modified xsi:type="dcterms:W3CDTF">2021-03-25T03:29:44Z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