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36"/>
          <w:szCs w:val="36"/>
        </w:rPr>
      </w:pPr>
    </w:p>
    <w:p>
      <w:pPr>
        <w:jc w:val="center"/>
        <w:rPr>
          <w:rFonts w:ascii="宋体" w:hAnsi="宋体" w:eastAsia="宋体" w:cs="Arial"/>
          <w:b/>
          <w:bCs/>
          <w:sz w:val="36"/>
          <w:szCs w:val="36"/>
        </w:rPr>
      </w:pPr>
    </w:p>
    <w:p>
      <w:pPr>
        <w:jc w:val="center"/>
        <w:rPr>
          <w:rFonts w:ascii="宋体" w:hAnsi="宋体" w:eastAsia="宋体" w:cs="Arial"/>
          <w:b/>
          <w:bCs/>
          <w:sz w:val="36"/>
          <w:szCs w:val="36"/>
        </w:rPr>
      </w:pPr>
    </w:p>
    <w:p>
      <w:pPr>
        <w:spacing w:line="240" w:lineRule="atLeast"/>
        <w:jc w:val="center"/>
        <w:rPr>
          <w:rFonts w:ascii="黑体" w:hAnsi="黑体" w:eastAsia="黑体" w:cs="黑体"/>
          <w:b/>
          <w:bCs/>
          <w:sz w:val="36"/>
          <w:szCs w:val="36"/>
        </w:rPr>
      </w:pPr>
      <w:r>
        <w:rPr>
          <w:rFonts w:hint="eastAsia" w:ascii="黑体" w:hAnsi="黑体" w:eastAsia="黑体" w:cs="黑体"/>
          <w:b/>
          <w:bCs/>
          <w:sz w:val="36"/>
          <w:szCs w:val="36"/>
        </w:rPr>
        <w:t>学院新校区迁建经费项目支出绩效评价报告</w:t>
      </w: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both"/>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uto"/>
        <w:jc w:val="center"/>
        <w:rPr>
          <w:rFonts w:ascii="宋体" w:hAnsi="宋体" w:eastAsia="宋体" w:cs="Arial"/>
          <w:b/>
          <w:bCs/>
          <w:sz w:val="36"/>
          <w:szCs w:val="36"/>
        </w:rPr>
      </w:pPr>
    </w:p>
    <w:p>
      <w:pPr>
        <w:spacing w:line="360" w:lineRule="auto"/>
        <w:ind w:firstLine="602"/>
        <w:rPr>
          <w:rFonts w:ascii="黑体" w:eastAsia="黑体"/>
          <w:b/>
          <w:color w:val="000000"/>
          <w:sz w:val="30"/>
          <w:szCs w:val="30"/>
        </w:rPr>
      </w:pPr>
      <w:r>
        <w:rPr>
          <w:rFonts w:hint="eastAsia" w:ascii="黑体" w:eastAsia="黑体"/>
          <w:b/>
          <w:color w:val="000000"/>
          <w:sz w:val="30"/>
          <w:szCs w:val="30"/>
        </w:rPr>
        <w:t>项目名称：学院新校区迁建经费</w:t>
      </w:r>
    </w:p>
    <w:p>
      <w:pPr>
        <w:spacing w:line="360" w:lineRule="auto"/>
        <w:ind w:firstLine="602"/>
        <w:rPr>
          <w:rFonts w:ascii="黑体" w:eastAsia="黑体"/>
          <w:b/>
          <w:color w:val="000000"/>
          <w:sz w:val="30"/>
          <w:szCs w:val="30"/>
        </w:rPr>
      </w:pPr>
      <w:r>
        <w:rPr>
          <w:rFonts w:hint="eastAsia" w:ascii="黑体" w:eastAsia="黑体"/>
          <w:b/>
          <w:color w:val="000000"/>
          <w:sz w:val="30"/>
          <w:szCs w:val="30"/>
        </w:rPr>
        <w:t>实施单位：阿克苏职业技术学院</w:t>
      </w:r>
    </w:p>
    <w:p>
      <w:pPr>
        <w:spacing w:line="360" w:lineRule="auto"/>
        <w:ind w:firstLine="602"/>
        <w:rPr>
          <w:rFonts w:ascii="黑体" w:eastAsia="黑体"/>
          <w:b/>
          <w:color w:val="000000"/>
          <w:sz w:val="30"/>
          <w:szCs w:val="30"/>
        </w:rPr>
      </w:pPr>
      <w:r>
        <w:rPr>
          <w:rFonts w:hint="eastAsia" w:ascii="黑体" w:eastAsia="黑体"/>
          <w:b/>
          <w:color w:val="000000"/>
          <w:sz w:val="30"/>
          <w:szCs w:val="30"/>
        </w:rPr>
        <w:t>主管部门：</w:t>
      </w:r>
      <w:r>
        <w:rPr>
          <w:rFonts w:ascii="黑体" w:eastAsia="黑体"/>
          <w:b/>
          <w:color w:val="000000"/>
          <w:sz w:val="30"/>
          <w:szCs w:val="30"/>
        </w:rPr>
        <w:t xml:space="preserve"> </w:t>
      </w:r>
      <w:r>
        <w:rPr>
          <w:rFonts w:hint="eastAsia" w:ascii="黑体" w:eastAsia="黑体"/>
          <w:b/>
          <w:color w:val="000000"/>
          <w:sz w:val="30"/>
          <w:szCs w:val="30"/>
        </w:rPr>
        <w:t>阿克苏职业技术学院</w:t>
      </w:r>
    </w:p>
    <w:p>
      <w:pPr>
        <w:spacing w:line="360" w:lineRule="auto"/>
        <w:ind w:firstLine="602"/>
        <w:rPr>
          <w:rFonts w:ascii="黑体" w:eastAsia="黑体"/>
          <w:b/>
          <w:color w:val="000000"/>
          <w:sz w:val="30"/>
          <w:szCs w:val="30"/>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docGrid w:type="lines" w:linePitch="408" w:charSpace="0"/>
        </w:sectPr>
      </w:pPr>
    </w:p>
    <w:p>
      <w:pPr>
        <w:spacing w:line="240" w:lineRule="atLeast"/>
        <w:jc w:val="center"/>
        <w:rPr>
          <w:rFonts w:ascii="黑体" w:hAnsi="黑体" w:eastAsia="黑体" w:cs="黑体"/>
          <w:b/>
          <w:bCs/>
          <w:sz w:val="36"/>
          <w:szCs w:val="36"/>
        </w:rPr>
      </w:pPr>
      <w:r>
        <w:rPr>
          <w:rFonts w:hint="eastAsia" w:ascii="黑体" w:hAnsi="黑体" w:eastAsia="黑体" w:cs="黑体"/>
          <w:b/>
          <w:bCs/>
          <w:sz w:val="36"/>
          <w:szCs w:val="36"/>
        </w:rPr>
        <w:t>学院新校区迁建经费项目支出绩效评价报告</w:t>
      </w:r>
    </w:p>
    <w:p>
      <w:pPr>
        <w:pStyle w:val="3"/>
        <w:ind w:firstLine="640"/>
      </w:pPr>
      <w:r>
        <w:rPr>
          <w:rFonts w:hint="eastAsia"/>
        </w:rPr>
        <w:t>一、基本情况</w:t>
      </w:r>
    </w:p>
    <w:p>
      <w:pPr>
        <w:pStyle w:val="4"/>
        <w:ind w:firstLine="643"/>
      </w:pPr>
      <w:r>
        <w:rPr>
          <w:rFonts w:hint="eastAsia"/>
        </w:rPr>
        <w:t>（一）项目概况</w:t>
      </w:r>
    </w:p>
    <w:p>
      <w:pPr>
        <w:pStyle w:val="2"/>
        <w:ind w:firstLine="562"/>
      </w:pPr>
      <w:r>
        <w:rPr>
          <w:rFonts w:hint="eastAsia"/>
        </w:rPr>
        <w:t>1.项目背景</w:t>
      </w:r>
    </w:p>
    <w:p>
      <w:pPr>
        <w:ind w:firstLine="560"/>
      </w:pPr>
      <w:r>
        <w:rPr>
          <w:rFonts w:hint="eastAsia"/>
        </w:rPr>
        <w:t>阿克苏职业技术学院自开办至今，在各级政府的关心支持下，学校本着以人为本的教育理念，以提高师生综合素质、优化教育资源为目的。老校区现有建筑面积13.8万平方米，校舍严重不足，教室、食堂、宿舍短缺，近三分之一的市区跑校生无法安排住宿。在老校区已经不能满足学校发展的前提下，根据地委、政府的城市发展布局规划，阿克苏职业技术学院新校区建设按照“统一规划，分步实施”的原则，综合考虑工程量和工程进度，现有师生整体搬迁至新校区。新校区建设标准化教学实训楼、宿舍、食堂及配套设施31.41万平方米、室外运动场及停车场7.3万平方米。其中：一期建设标准化教学实训楼、宿舍、食堂及配套设施25.61万平方米及室外运动场、停车场7.3万平方米。迁入新校区后全校9000人吃、住、教室、宿舍、食堂等教学生活设施均得到满足，这样无疑给我校带来新的动力，我们将以新的姿态走进创造教育新业绩的主战场。</w:t>
      </w:r>
    </w:p>
    <w:p>
      <w:pPr>
        <w:pStyle w:val="2"/>
        <w:ind w:firstLine="562"/>
      </w:pPr>
      <w:r>
        <w:rPr>
          <w:rFonts w:hint="eastAsia"/>
        </w:rPr>
        <w:t>2.项目实施主体</w:t>
      </w:r>
    </w:p>
    <w:p>
      <w:pPr>
        <w:ind w:firstLine="560"/>
      </w:pPr>
      <w:r>
        <w:rPr>
          <w:rFonts w:hint="eastAsia"/>
        </w:rPr>
        <w:t>（1）主要职能</w:t>
      </w:r>
    </w:p>
    <w:p>
      <w:pPr>
        <w:ind w:firstLine="560"/>
      </w:pPr>
      <w:r>
        <w:rPr>
          <w:rFonts w:hint="eastAsia" w:ascii="仿宋" w:hAnsi="仿宋" w:eastAsia="仿宋"/>
        </w:rPr>
        <w:t>学院的职能是贯彻国家教育方针，执行国家教育教学标准，依据《中华人民共和国教育法》和《中华人民共和国职业教育法》开展职业中等专业学历教育和相关职业教育，提高教育教学质量和办学效益，培养以全面素质为基础、以能力为本位的高素质劳动者和中、初级专门人才。学院以提升质量为核心，加强创新人才为模式，提高科技创新能力，为建设创新型国家做出贡献。积极发挥知识和科研优势，服务新疆经济社会发展，积极推进社会主义文化大发展、大繁荣，发挥文化和传承和创新职能。</w:t>
      </w:r>
    </w:p>
    <w:p>
      <w:pPr>
        <w:ind w:firstLine="560"/>
        <w:rPr>
          <w:rFonts w:ascii="仿宋_GB2312" w:hAnsi="仿宋_GB2312" w:cs="仿宋_GB2312"/>
          <w:bCs/>
          <w:szCs w:val="28"/>
        </w:rPr>
      </w:pPr>
      <w:r>
        <w:rPr>
          <w:rFonts w:hint="eastAsia"/>
        </w:rPr>
        <w:t>（2）机构设置及人员情</w:t>
      </w:r>
      <w:r>
        <w:rPr>
          <w:rFonts w:hint="eastAsia" w:ascii="仿宋_GB2312" w:hAnsi="仿宋_GB2312" w:cs="仿宋_GB2312"/>
          <w:bCs/>
          <w:szCs w:val="28"/>
        </w:rPr>
        <w:t>况</w:t>
      </w:r>
    </w:p>
    <w:p>
      <w:pPr>
        <w:pStyle w:val="2"/>
        <w:ind w:firstLine="560"/>
        <w:rPr>
          <w:rFonts w:ascii="仿宋" w:hAnsi="仿宋" w:eastAsia="仿宋"/>
          <w:b w:val="0"/>
          <w:bCs w:val="0"/>
          <w:szCs w:val="24"/>
        </w:rPr>
      </w:pPr>
      <w:r>
        <w:rPr>
          <w:rFonts w:hint="eastAsia" w:ascii="仿宋" w:hAnsi="仿宋" w:eastAsia="仿宋"/>
          <w:b w:val="0"/>
          <w:bCs w:val="0"/>
          <w:szCs w:val="24"/>
        </w:rPr>
        <w:t>学院下设11个系（部）、12个行政处室，地区编委核定事业编制610名，截止2019 年10月，在职（在编）人员为565人，离休人员4人，退休人员275人。</w:t>
      </w:r>
    </w:p>
    <w:p>
      <w:pPr>
        <w:pStyle w:val="2"/>
        <w:ind w:firstLine="562"/>
      </w:pPr>
      <w:r>
        <w:rPr>
          <w:rFonts w:hint="eastAsia"/>
        </w:rPr>
        <w:t>3.项目组织结构</w:t>
      </w:r>
    </w:p>
    <w:p>
      <w:pPr>
        <w:ind w:firstLine="560"/>
      </w:pPr>
      <w:r>
        <w:rPr>
          <w:rFonts w:hint="eastAsia"/>
        </w:rPr>
        <w:t>为确保我单位该项目的顺利实施，我单位成立项目实施小组，组长为田建苏，项目负责人为雷洪柱，成员为马建兵、白慎、魏华3人，其中：白慎，负责认真做好学校校产的清理，落实搬迁工作的人员和车辆，采购搬迁需要的一切物品工作。田建苏负责周密制定有关搬迁计划工作；雷洪柱负责组织和指导各处室，各部门的搬迁工作；马建兵负责组织人员落实搬迁后的各项检查。</w:t>
      </w:r>
    </w:p>
    <w:p>
      <w:pPr>
        <w:pStyle w:val="2"/>
        <w:ind w:firstLine="562"/>
      </w:pPr>
      <w:r>
        <w:rPr>
          <w:rFonts w:hint="eastAsia"/>
        </w:rPr>
        <w:t>4.主要内容及实施情况</w:t>
      </w:r>
    </w:p>
    <w:p>
      <w:pPr>
        <w:ind w:firstLine="560"/>
      </w:pPr>
      <w:r>
        <w:rPr>
          <w:rFonts w:hint="eastAsia"/>
        </w:rPr>
        <w:t>全院11个系（部）、12个行政处室、10556名学生、575名教职工，由阿克苏市迎宾路老校区搬迁至温宿县学院路，搬迁距离15公里。学院新校区占地31.41万平方米，迁建经费项目共租用车辆58辆，雇佣搬迁工人110人，采购搬迁需要的一切物品95万元，大型设备搬迁费用110万元。学院搬迁为期两个月，其中准备期1个月，搬迁期1个月。搬迁后，还要进行住宿办公教学用具的组装以及新校舍的整理工作。</w:t>
      </w:r>
    </w:p>
    <w:p>
      <w:pPr>
        <w:ind w:firstLine="560"/>
      </w:pPr>
      <w:r>
        <w:rPr>
          <w:rFonts w:hint="eastAsia"/>
        </w:rPr>
        <w:t>5.资金投入和使用情况</w:t>
      </w:r>
    </w:p>
    <w:p>
      <w:pPr>
        <w:ind w:firstLine="560"/>
      </w:pPr>
      <w:r>
        <w:rPr>
          <w:rFonts w:hint="eastAsia"/>
        </w:rPr>
        <w:t>（1）项目资金安排落实、总投入等情况分析</w:t>
      </w:r>
    </w:p>
    <w:p>
      <w:pPr>
        <w:ind w:firstLine="560"/>
      </w:pPr>
      <w:r>
        <w:rPr>
          <w:rFonts w:hint="eastAsia"/>
        </w:rPr>
        <w:t>学院新校区迁建经费</w:t>
      </w:r>
      <w:r>
        <w:t>项目预算安排总额为</w:t>
      </w:r>
      <w:r>
        <w:rPr>
          <w:rFonts w:hint="eastAsia"/>
        </w:rPr>
        <w:t>353</w:t>
      </w:r>
      <w:r>
        <w:t>万元，其中财政资金</w:t>
      </w:r>
      <w:r>
        <w:rPr>
          <w:rFonts w:hint="eastAsia"/>
        </w:rPr>
        <w:t>0</w:t>
      </w:r>
      <w:r>
        <w:t>万元，其他资金</w:t>
      </w:r>
      <w:r>
        <w:rPr>
          <w:rFonts w:hint="eastAsia"/>
        </w:rPr>
        <w:t>353</w:t>
      </w:r>
      <w:r>
        <w:t>万元，2019年实际收到预算</w:t>
      </w:r>
      <w:r>
        <w:rPr>
          <w:rFonts w:hint="eastAsia"/>
        </w:rPr>
        <w:t>外</w:t>
      </w:r>
      <w:r>
        <w:t>资金</w:t>
      </w:r>
      <w:r>
        <w:rPr>
          <w:rFonts w:hint="eastAsia"/>
        </w:rPr>
        <w:t>353</w:t>
      </w:r>
      <w:r>
        <w:t>万元，预算资金到位率为</w:t>
      </w:r>
      <w:r>
        <w:rPr>
          <w:rFonts w:hint="eastAsia"/>
        </w:rPr>
        <w:t>100</w:t>
      </w:r>
      <w:r>
        <w:t>%。</w:t>
      </w:r>
    </w:p>
    <w:p>
      <w:pPr>
        <w:ind w:firstLine="560" w:firstLineChars="0"/>
        <w:rPr>
          <w:rFonts w:ascii="楷体" w:hAnsi="楷体" w:eastAsia="楷体"/>
          <w:bCs/>
          <w:spacing w:val="-4"/>
        </w:rPr>
      </w:pPr>
      <w:r>
        <w:rPr>
          <w:rFonts w:hint="eastAsia" w:ascii="楷体" w:hAnsi="楷体" w:eastAsia="楷体"/>
          <w:bCs/>
          <w:spacing w:val="-4"/>
        </w:rPr>
        <w:t>（2）</w:t>
      </w:r>
      <w:r>
        <w:rPr>
          <w:rFonts w:hint="eastAsia"/>
        </w:rPr>
        <w:t>项目资金实际使用情况分析</w:t>
      </w:r>
    </w:p>
    <w:p>
      <w:pPr>
        <w:ind w:firstLine="560"/>
      </w:pPr>
      <w:r>
        <w:rPr>
          <w:rFonts w:hint="eastAsia"/>
        </w:rPr>
        <w:t>本项目实际支付资金353万元，预算执行率100.00</w:t>
      </w:r>
      <w:r>
        <w:t>%</w:t>
      </w:r>
      <w:r>
        <w:rPr>
          <w:rFonts w:hint="eastAsia"/>
        </w:rPr>
        <w:t>。项目资金主要用于支付租用车辆费用65万元、雇佣搬迁工人费用83万元，购买打包用品费用95万元，大型设备搬迁费用110万元。</w:t>
      </w:r>
    </w:p>
    <w:p>
      <w:pPr>
        <w:pStyle w:val="4"/>
        <w:numPr>
          <w:ilvl w:val="0"/>
          <w:numId w:val="2"/>
        </w:numPr>
        <w:ind w:firstLine="643"/>
      </w:pPr>
      <w:r>
        <w:rPr>
          <w:rFonts w:hint="eastAsia"/>
        </w:rPr>
        <w:t>项目绩效目标</w:t>
      </w:r>
    </w:p>
    <w:p>
      <w:pPr>
        <w:pStyle w:val="2"/>
        <w:ind w:firstLine="562"/>
      </w:pPr>
      <w:r>
        <w:rPr>
          <w:rFonts w:hint="eastAsia"/>
        </w:rPr>
        <w:t>1.总体目标</w:t>
      </w:r>
    </w:p>
    <w:p>
      <w:pPr>
        <w:pStyle w:val="2"/>
        <w:ind w:firstLine="560"/>
        <w:rPr>
          <w:rFonts w:ascii="Times New Roman" w:hAnsi="Times New Roman"/>
          <w:b w:val="0"/>
          <w:bCs w:val="0"/>
          <w:kern w:val="2"/>
          <w:szCs w:val="24"/>
        </w:rPr>
      </w:pPr>
      <w:r>
        <w:rPr>
          <w:rFonts w:hint="eastAsia" w:ascii="Times New Roman" w:hAnsi="Times New Roman"/>
          <w:b w:val="0"/>
          <w:bCs w:val="0"/>
          <w:kern w:val="2"/>
          <w:szCs w:val="24"/>
        </w:rPr>
        <w:t>学院新校区迁建经费项目共租用车辆58辆，雇佣搬迁工人110人，资金支付100%合规，资金拨付100%及时，共计安排资金3530000元。校区搬迁能够明显提升市区功能区优化，能够促进职业教育有序健康发展。</w:t>
      </w:r>
    </w:p>
    <w:p>
      <w:pPr>
        <w:pStyle w:val="2"/>
        <w:ind w:firstLine="562"/>
      </w:pPr>
      <w:r>
        <w:rPr>
          <w:rFonts w:hint="eastAsia"/>
        </w:rPr>
        <w:t>2.阶段性目标</w:t>
      </w:r>
    </w:p>
    <w:p>
      <w:pPr>
        <w:ind w:firstLine="560"/>
        <w:rPr>
          <w:rFonts w:hAnsi="Arial" w:cs="宋体"/>
          <w:bCs/>
          <w:color w:val="000000"/>
        </w:rPr>
      </w:pPr>
      <w:r>
        <w:rPr>
          <w:rFonts w:hint="eastAsia" w:hAnsi="Arial" w:cs="宋体"/>
          <w:bCs/>
          <w:color w:val="000000"/>
        </w:rPr>
        <w:t>根据《预算法》、《财政支出绩效评价管理暂行办法》（财预〔2020〕10号）、《中共中央国务院关于全面实施预算绩效管理的意见》（中发〔2018〕34号）、《自治区党委自治区人民政府关于全面实施预算绩效管理的实施意见》（新党发〔2018〕30号）、《中共阿克苏地委 阿克苏地区行署印发〈关于全面实施预算绩效管理的实施意见〉》（阿地党字〔2019〕18号）、</w:t>
      </w:r>
      <w:r>
        <w:rPr>
          <w:rFonts w:hAnsi="Arial" w:cs="宋体"/>
          <w:bCs/>
          <w:color w:val="000000"/>
        </w:rPr>
        <w:t>《</w:t>
      </w:r>
      <w:r>
        <w:rPr>
          <w:rFonts w:hint="eastAsia" w:hAnsi="Arial" w:cs="宋体"/>
          <w:bCs/>
          <w:color w:val="000000"/>
        </w:rPr>
        <w:t>阿克苏地区</w:t>
      </w:r>
      <w:r>
        <w:rPr>
          <w:rFonts w:hAnsi="Arial" w:cs="宋体"/>
          <w:bCs/>
          <w:color w:val="000000"/>
        </w:rPr>
        <w:t>财政</w:t>
      </w:r>
      <w:r>
        <w:t>支出绩效评价管理暂行办法》</w:t>
      </w:r>
      <w:r>
        <w:rPr>
          <w:rFonts w:hint="eastAsia"/>
        </w:rPr>
        <w:t>（阿地财预〔2019〕26号）</w:t>
      </w:r>
      <w:r>
        <w:rPr>
          <w:rFonts w:hint="eastAsia" w:hAnsi="Arial" w:cs="宋体"/>
          <w:bCs/>
          <w:color w:val="000000"/>
        </w:rPr>
        <w:t>的规定，结合项目实施单位的规章制度以及财务相关资料，评价小组对项目绩效目标进行了进一步的完善，完善后绩效目标如下：</w:t>
      </w:r>
    </w:p>
    <w:p>
      <w:pPr>
        <w:numPr>
          <w:ilvl w:val="0"/>
          <w:numId w:val="3"/>
        </w:numPr>
        <w:ind w:firstLine="560"/>
      </w:pPr>
      <w:r>
        <w:rPr>
          <w:rFonts w:hint="eastAsia"/>
        </w:rPr>
        <w:t>项目产出目标</w:t>
      </w:r>
    </w:p>
    <w:p>
      <w:pPr>
        <w:ind w:firstLine="560"/>
      </w:pPr>
      <w:r>
        <w:rPr>
          <w:rFonts w:hint="eastAsia"/>
        </w:rPr>
        <w:t>①数量指标</w:t>
      </w:r>
      <w:bookmarkStart w:id="14" w:name="_GoBack"/>
      <w:bookmarkEnd w:id="14"/>
    </w:p>
    <w:p>
      <w:pPr>
        <w:ind w:firstLine="560"/>
      </w:pPr>
      <w:r>
        <w:rPr>
          <w:rFonts w:hint="eastAsia"/>
        </w:rPr>
        <w:t>“租用车辆数量”指标，预期指标值为“≥50辆”；</w:t>
      </w:r>
    </w:p>
    <w:p>
      <w:pPr>
        <w:ind w:firstLine="560"/>
      </w:pPr>
      <w:r>
        <w:rPr>
          <w:rFonts w:hint="eastAsia"/>
        </w:rPr>
        <w:t>“搬迁工人数量”指标，预期指标值为“≥100人”。</w:t>
      </w:r>
    </w:p>
    <w:p>
      <w:pPr>
        <w:ind w:firstLine="560"/>
      </w:pPr>
      <w:r>
        <w:rPr>
          <w:rFonts w:hint="eastAsia"/>
        </w:rPr>
        <w:t>②质量指标</w:t>
      </w:r>
    </w:p>
    <w:p>
      <w:pPr>
        <w:ind w:firstLine="560"/>
      </w:pPr>
      <w:r>
        <w:rPr>
          <w:rFonts w:hint="eastAsia"/>
        </w:rPr>
        <w:t>“资金支付合规率”指标，预期指标值为“100%”；</w:t>
      </w:r>
    </w:p>
    <w:p>
      <w:pPr>
        <w:ind w:firstLine="560"/>
      </w:pPr>
      <w:r>
        <w:rPr>
          <w:rFonts w:hint="eastAsia"/>
        </w:rPr>
        <w:t>③时效指标</w:t>
      </w:r>
    </w:p>
    <w:p>
      <w:pPr>
        <w:ind w:firstLine="560"/>
      </w:pPr>
      <w:r>
        <w:rPr>
          <w:rFonts w:hint="eastAsia"/>
        </w:rPr>
        <w:t>“资金拨付及时率”指标，预期指标值为“100%”；</w:t>
      </w:r>
    </w:p>
    <w:p>
      <w:pPr>
        <w:ind w:firstLine="560"/>
      </w:pPr>
      <w:r>
        <w:rPr>
          <w:rFonts w:hint="eastAsia"/>
        </w:rPr>
        <w:t>④成本指标</w:t>
      </w:r>
    </w:p>
    <w:p>
      <w:pPr>
        <w:ind w:firstLine="560"/>
      </w:pPr>
      <w:r>
        <w:rPr>
          <w:rFonts w:hint="eastAsia"/>
        </w:rPr>
        <w:t>“学院新校区迁建经费”指标，预期指标值为353万元；</w:t>
      </w:r>
    </w:p>
    <w:p>
      <w:pPr>
        <w:ind w:firstLine="560"/>
      </w:pPr>
      <w:r>
        <w:rPr>
          <w:rFonts w:hint="eastAsia"/>
        </w:rPr>
        <w:t>（2）项目效益目标</w:t>
      </w:r>
    </w:p>
    <w:p>
      <w:pPr>
        <w:ind w:firstLine="560"/>
      </w:pPr>
      <w:r>
        <w:rPr>
          <w:rFonts w:hint="eastAsia"/>
        </w:rPr>
        <w:t>①经济效益指标：无</w:t>
      </w:r>
    </w:p>
    <w:p>
      <w:pPr>
        <w:ind w:firstLine="560"/>
      </w:pPr>
      <w:r>
        <w:rPr>
          <w:rFonts w:hint="eastAsia"/>
        </w:rPr>
        <w:t>②社会效益指标</w:t>
      </w:r>
    </w:p>
    <w:p>
      <w:pPr>
        <w:ind w:firstLine="560"/>
      </w:pPr>
      <w:r>
        <w:rPr>
          <w:rFonts w:hint="eastAsia"/>
        </w:rPr>
        <w:t>“校区搬迁对市区功能区优化影响”指标，预期指标值为“明显提升”；</w:t>
      </w:r>
    </w:p>
    <w:p>
      <w:pPr>
        <w:ind w:firstLine="560"/>
      </w:pPr>
      <w:r>
        <w:rPr>
          <w:rFonts w:hint="eastAsia"/>
        </w:rPr>
        <w:t>③生态效益指标：无</w:t>
      </w:r>
    </w:p>
    <w:p>
      <w:pPr>
        <w:ind w:firstLine="560"/>
      </w:pPr>
      <w:r>
        <w:rPr>
          <w:rFonts w:hint="eastAsia"/>
        </w:rPr>
        <w:t>④可持续影响指标</w:t>
      </w:r>
    </w:p>
    <w:p>
      <w:pPr>
        <w:ind w:firstLine="560"/>
      </w:pPr>
      <w:r>
        <w:rPr>
          <w:rFonts w:hint="eastAsia"/>
        </w:rPr>
        <w:t>“保障职业教育有序健康发展”指标，预期指标值为“长期保障”；</w:t>
      </w:r>
    </w:p>
    <w:p>
      <w:pPr>
        <w:ind w:firstLine="560"/>
      </w:pPr>
      <w:r>
        <w:rPr>
          <w:rFonts w:hint="eastAsia"/>
        </w:rPr>
        <w:t>（3）相关满意度目标</w:t>
      </w:r>
    </w:p>
    <w:p>
      <w:pPr>
        <w:ind w:firstLine="560"/>
      </w:pPr>
      <w:r>
        <w:rPr>
          <w:rFonts w:hint="eastAsia"/>
        </w:rPr>
        <w:t>满意度指标</w:t>
      </w:r>
    </w:p>
    <w:p>
      <w:pPr>
        <w:ind w:firstLine="560"/>
      </w:pPr>
      <w:r>
        <w:rPr>
          <w:rFonts w:hint="eastAsia"/>
        </w:rPr>
        <w:t>“搬迁雇佣人员满意度”指标，预期指标值为“≥90%”；</w:t>
      </w:r>
    </w:p>
    <w:p>
      <w:pPr>
        <w:pStyle w:val="3"/>
        <w:ind w:firstLine="640"/>
      </w:pPr>
      <w:r>
        <w:rPr>
          <w:rFonts w:hint="eastAsia"/>
        </w:rPr>
        <w:t>二、绩效评价工作开展情况</w:t>
      </w:r>
    </w:p>
    <w:p>
      <w:pPr>
        <w:pStyle w:val="4"/>
        <w:numPr>
          <w:ilvl w:val="0"/>
          <w:numId w:val="4"/>
        </w:numPr>
        <w:ind w:firstLine="643"/>
        <w:rPr>
          <w:rFonts w:ascii="楷体" w:hAnsi="楷体" w:cs="楷体"/>
          <w:szCs w:val="32"/>
        </w:rPr>
      </w:pPr>
      <w:bookmarkStart w:id="0" w:name="_Toc12868"/>
      <w:bookmarkStart w:id="1" w:name="_Toc22169_WPSOffice_Level2"/>
      <w:bookmarkStart w:id="2" w:name="_Toc5258"/>
      <w:bookmarkStart w:id="3" w:name="_Toc5462343"/>
      <w:bookmarkStart w:id="4" w:name="_Toc22922"/>
      <w:bookmarkStart w:id="5" w:name="_Toc480473081"/>
      <w:bookmarkStart w:id="6" w:name="_Toc26632"/>
      <w:bookmarkStart w:id="7" w:name="_Toc21664"/>
      <w:r>
        <w:rPr>
          <w:rFonts w:hint="eastAsia" w:ascii="楷体" w:hAnsi="楷体" w:cs="楷体"/>
          <w:szCs w:val="32"/>
        </w:rPr>
        <w:t>绩效评价的目的</w:t>
      </w:r>
      <w:bookmarkEnd w:id="0"/>
      <w:bookmarkEnd w:id="1"/>
      <w:bookmarkEnd w:id="2"/>
      <w:bookmarkEnd w:id="3"/>
      <w:bookmarkEnd w:id="4"/>
      <w:bookmarkEnd w:id="5"/>
      <w:bookmarkEnd w:id="6"/>
      <w:bookmarkEnd w:id="7"/>
      <w:r>
        <w:rPr>
          <w:rFonts w:hint="eastAsia" w:ascii="楷体" w:hAnsi="楷体" w:cs="楷体"/>
          <w:szCs w:val="32"/>
        </w:rPr>
        <w:t>、对象和范围</w:t>
      </w:r>
    </w:p>
    <w:p>
      <w:pPr>
        <w:pStyle w:val="2"/>
        <w:ind w:firstLine="562"/>
      </w:pPr>
      <w:r>
        <w:rPr>
          <w:rFonts w:hint="eastAsia"/>
        </w:rPr>
        <w:t>1.</w:t>
      </w:r>
      <w:r>
        <w:rPr>
          <w:rFonts w:hint="eastAsia" w:ascii="楷体" w:hAnsi="楷体" w:eastAsia="楷体" w:cs="楷体"/>
          <w:sz w:val="32"/>
        </w:rPr>
        <w:t>绩效评价的目的</w:t>
      </w:r>
    </w:p>
    <w:p>
      <w:pPr>
        <w:spacing w:line="600" w:lineRule="exact"/>
        <w:ind w:firstLine="560"/>
      </w:pPr>
      <w:r>
        <w:rPr>
          <w:rFonts w:hint="eastAsia"/>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pStyle w:val="2"/>
        <w:ind w:firstLine="562"/>
      </w:pPr>
      <w:r>
        <w:rPr>
          <w:rFonts w:hint="eastAsia"/>
        </w:rPr>
        <w:t>2.绩效评价的对象和范围</w:t>
      </w:r>
    </w:p>
    <w:p>
      <w:pPr>
        <w:ind w:firstLine="560"/>
      </w:pPr>
      <w:r>
        <w:rPr>
          <w:rFonts w:hint="eastAsia"/>
        </w:rPr>
        <w:t>此次我单位根据《财政支出绩效评价管理暂行办法》（财预〔2020〕10号）文件要求对2019年度我单位实施的学院新校区迁建经费项目开展部门绩效评价，本次绩效评价主要围绕项目</w:t>
      </w:r>
      <w:r>
        <w:t>资金使用情况、财务管理状况和资产配置、使用、处置及其收益管理情况</w:t>
      </w:r>
      <w:r>
        <w:rPr>
          <w:rFonts w:hint="eastAsia"/>
        </w:rPr>
        <w:t>；项目管理</w:t>
      </w:r>
      <w:r>
        <w:t>相关制度</w:t>
      </w:r>
      <w:r>
        <w:rPr>
          <w:rFonts w:hint="eastAsia"/>
        </w:rPr>
        <w:t>及</w:t>
      </w:r>
      <w:r>
        <w:t>措施</w:t>
      </w:r>
      <w:r>
        <w:rPr>
          <w:rFonts w:hint="eastAsia"/>
        </w:rPr>
        <w:t>是否被认真执行</w:t>
      </w:r>
      <w:r>
        <w:t>；绩效目标的实现程度，包括是否达到预定产出和效果等</w:t>
      </w:r>
      <w:r>
        <w:rPr>
          <w:rFonts w:hint="eastAsia"/>
        </w:rPr>
        <w:t>方面进行部门绩效评价。</w:t>
      </w:r>
    </w:p>
    <w:p>
      <w:pPr>
        <w:pStyle w:val="4"/>
        <w:numPr>
          <w:ilvl w:val="0"/>
          <w:numId w:val="4"/>
        </w:numPr>
        <w:ind w:firstLine="643"/>
      </w:pPr>
      <w:r>
        <w:rPr>
          <w:rFonts w:hint="eastAsia"/>
        </w:rPr>
        <w:t>评价工作简述</w:t>
      </w:r>
    </w:p>
    <w:p>
      <w:pPr>
        <w:pStyle w:val="2"/>
        <w:ind w:firstLine="562"/>
      </w:pPr>
      <w:r>
        <w:rPr>
          <w:rFonts w:hint="eastAsia"/>
        </w:rPr>
        <w:t>1.绩效评价原则</w:t>
      </w:r>
    </w:p>
    <w:p>
      <w:pPr>
        <w:spacing w:line="600" w:lineRule="exact"/>
        <w:ind w:firstLine="560"/>
      </w:pPr>
      <w:r>
        <w:rPr>
          <w:rFonts w:hint="eastAsia"/>
        </w:rPr>
        <w:t>依据</w:t>
      </w:r>
      <w:r>
        <w:rPr>
          <w:rFonts w:hint="eastAsia" w:hAnsi="Arial" w:cs="宋体"/>
          <w:bCs/>
          <w:color w:val="000000"/>
        </w:rPr>
        <w:t>《预算法》、《财政支出绩效评价管理暂行办法》（财预〔2020〕10号）、《中共中央国务院关于全面实施预算绩效管理的意见》（中发〔2018〕34号）、《自治区党委自治区人民政府关于全面实施预算绩效管理的实施意见》（新党发〔2018〕30号）、《中共阿克苏地委 阿克苏地区行署印发〈关于全面实施预算绩效管理的实施意见〉》（阿地党字〔2019〕18号）、</w:t>
      </w:r>
      <w:r>
        <w:rPr>
          <w:rFonts w:hAnsi="Arial" w:cs="宋体"/>
          <w:bCs/>
          <w:color w:val="000000"/>
        </w:rPr>
        <w:t>《</w:t>
      </w:r>
      <w:r>
        <w:rPr>
          <w:rFonts w:hint="eastAsia" w:hAnsi="Arial" w:cs="宋体"/>
          <w:bCs/>
          <w:color w:val="000000"/>
        </w:rPr>
        <w:t>阿克苏地区</w:t>
      </w:r>
      <w:r>
        <w:rPr>
          <w:rFonts w:hAnsi="Arial" w:cs="宋体"/>
          <w:bCs/>
          <w:color w:val="000000"/>
        </w:rPr>
        <w:t>财政</w:t>
      </w:r>
      <w:r>
        <w:t>支出绩效评价管理暂行办法》</w:t>
      </w:r>
      <w:r>
        <w:rPr>
          <w:rFonts w:hint="eastAsia"/>
        </w:rPr>
        <w:t>（阿地财预〔2019〕26号）等要求，本次绩效评价秉承科学规范、公正公开、分级分类、绩效相关等原则，按照从投入、过程到产出效果和影响的绩效逻辑路径，结合学院新校区迁建经费项目实际开展情况，运用定量和定性分析相结合的方法，总结经验做法，反思项目实施和管理中的问题，以切实提升财政资金管理的科学化、规范化和精细化水平。</w:t>
      </w:r>
    </w:p>
    <w:p>
      <w:pPr>
        <w:spacing w:line="600" w:lineRule="exact"/>
        <w:ind w:firstLine="560"/>
      </w:pPr>
      <w:r>
        <w:rPr>
          <w:rFonts w:hint="eastAsia"/>
        </w:rPr>
        <w:t>根据以上原则，绩效评价应遵循如下要求：</w:t>
      </w:r>
    </w:p>
    <w:p>
      <w:pPr>
        <w:spacing w:line="600" w:lineRule="exact"/>
        <w:ind w:firstLine="560"/>
      </w:pPr>
      <w:r>
        <w:rPr>
          <w:rFonts w:hint="eastAsia"/>
        </w:rPr>
        <w:t>（1）在数据采集时，采取客观数据，主管部门审查、社会中介组织复查，与问卷调查相结合的形式，以保证各项指标的真实性。</w:t>
      </w:r>
    </w:p>
    <w:p>
      <w:pPr>
        <w:spacing w:line="600" w:lineRule="exact"/>
        <w:ind w:firstLine="560"/>
      </w:pPr>
      <w:r>
        <w:rPr>
          <w:rFonts w:hint="eastAsia"/>
        </w:rPr>
        <w:t>（2）保证评价结果的真实性、公正性，提高评价报告的公信力。</w:t>
      </w:r>
    </w:p>
    <w:p>
      <w:pPr>
        <w:spacing w:line="600" w:lineRule="exact"/>
        <w:ind w:firstLine="560"/>
      </w:pPr>
      <w:r>
        <w:rPr>
          <w:rFonts w:hint="eastAsia"/>
        </w:rPr>
        <w:t>（3）绩效评价报告应当简明扼要，除了对绩效评价的过程、结果描述外，还应总结经验，指出问题，并就共性问题提出可操作性改进建议。</w:t>
      </w:r>
    </w:p>
    <w:p>
      <w:pPr>
        <w:pStyle w:val="2"/>
        <w:ind w:firstLine="562"/>
      </w:pPr>
      <w:bookmarkStart w:id="8" w:name="_Toc1913"/>
      <w:bookmarkStart w:id="9" w:name="_Toc26131"/>
      <w:bookmarkStart w:id="10" w:name="_Toc419984722"/>
      <w:bookmarkStart w:id="11" w:name="_Toc428278230"/>
      <w:r>
        <w:rPr>
          <w:rFonts w:hint="eastAsia"/>
        </w:rPr>
        <w:t>2.绩效评价指标体系及绩效评价</w:t>
      </w:r>
      <w:bookmarkEnd w:id="8"/>
      <w:bookmarkEnd w:id="9"/>
      <w:bookmarkEnd w:id="10"/>
      <w:bookmarkEnd w:id="11"/>
      <w:r>
        <w:rPr>
          <w:rFonts w:hint="eastAsia"/>
        </w:rPr>
        <w:t>标准</w:t>
      </w:r>
    </w:p>
    <w:p>
      <w:pPr>
        <w:spacing w:line="600" w:lineRule="exact"/>
        <w:ind w:firstLine="560"/>
      </w:pPr>
      <w:r>
        <w:rPr>
          <w:rFonts w:hint="eastAsia"/>
        </w:rPr>
        <w:t>我单位</w:t>
      </w:r>
      <w:r>
        <w:rPr>
          <w:rFonts w:hint="eastAsia"/>
          <w:lang w:val="zh-TW" w:eastAsia="zh-TW"/>
        </w:rPr>
        <w:t>根据项目的</w:t>
      </w:r>
      <w:r>
        <w:rPr>
          <w:rFonts w:hint="eastAsia"/>
        </w:rPr>
        <w:t>实施</w:t>
      </w:r>
      <w:r>
        <w:rPr>
          <w:rFonts w:hint="eastAsia"/>
          <w:lang w:val="zh-TW" w:eastAsia="zh-TW"/>
        </w:rPr>
        <w:t>资料研读及前期调研，结合项目的实际开展情况，将项目的指标体系进行了调整和完善</w:t>
      </w:r>
      <w:r>
        <w:rPr>
          <w:rFonts w:hint="eastAsia"/>
          <w:lang w:val="zh-TW"/>
        </w:rPr>
        <w:t>，</w:t>
      </w:r>
      <w:r>
        <w:rPr>
          <w:rFonts w:hint="eastAsia"/>
          <w:lang w:val="zh-TW" w:eastAsia="zh-TW"/>
        </w:rPr>
        <w:t>最终形成了项目绩效评价指标体系</w:t>
      </w:r>
      <w:r>
        <w:rPr>
          <w:rFonts w:hint="eastAsia"/>
          <w:lang w:val="zh-TW"/>
        </w:rPr>
        <w:t>，</w:t>
      </w:r>
      <w:r>
        <w:rPr>
          <w:rFonts w:hint="eastAsia"/>
        </w:rPr>
        <w:t>指标体系结构如下：</w:t>
      </w:r>
    </w:p>
    <w:tbl>
      <w:tblPr>
        <w:tblStyle w:val="9"/>
        <w:tblW w:w="874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827"/>
        <w:gridCol w:w="1200"/>
        <w:gridCol w:w="2136"/>
        <w:gridCol w:w="371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tblHeader/>
          <w:jc w:val="center"/>
        </w:trPr>
        <w:tc>
          <w:tcPr>
            <w:tcW w:w="861" w:type="dxa"/>
            <w:shd w:val="clear" w:color="auto" w:fill="FFFFFF"/>
            <w:vAlign w:val="center"/>
          </w:tcPr>
          <w:p>
            <w:pPr>
              <w:widowControl/>
              <w:snapToGrid w:val="0"/>
              <w:spacing w:line="240" w:lineRule="auto"/>
              <w:ind w:firstLine="0" w:firstLineChars="0"/>
              <w:jc w:val="center"/>
              <w:rPr>
                <w:rFonts w:ascii="仿宋_GB2312" w:hAnsi="仿宋_GB2312" w:cs="仿宋_GB2312"/>
                <w:b/>
                <w:bCs/>
                <w:color w:val="000000"/>
                <w:kern w:val="0"/>
                <w:sz w:val="24"/>
              </w:rPr>
            </w:pPr>
            <w:r>
              <w:rPr>
                <w:rFonts w:hint="eastAsia" w:ascii="仿宋_GB2312" w:hAnsi="仿宋_GB2312" w:cs="仿宋_GB2312"/>
                <w:b/>
                <w:bCs/>
                <w:color w:val="000000"/>
                <w:kern w:val="0"/>
                <w:sz w:val="24"/>
              </w:rPr>
              <w:t>一级指标</w:t>
            </w: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b/>
                <w:bCs/>
                <w:color w:val="000000"/>
                <w:kern w:val="0"/>
                <w:sz w:val="24"/>
              </w:rPr>
            </w:pPr>
            <w:r>
              <w:rPr>
                <w:rFonts w:hint="eastAsia" w:ascii="仿宋_GB2312" w:hAnsi="仿宋_GB2312" w:cs="仿宋_GB2312"/>
                <w:b/>
                <w:bCs/>
                <w:color w:val="000000"/>
                <w:kern w:val="0"/>
                <w:sz w:val="24"/>
              </w:rPr>
              <w:t>二级指标</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b/>
                <w:bCs/>
                <w:color w:val="000000"/>
                <w:kern w:val="0"/>
                <w:sz w:val="24"/>
              </w:rPr>
            </w:pPr>
            <w:r>
              <w:rPr>
                <w:rFonts w:hint="eastAsia" w:ascii="仿宋_GB2312" w:hAnsi="仿宋_GB2312" w:cs="仿宋_GB2312"/>
                <w:b/>
                <w:bCs/>
                <w:color w:val="000000"/>
                <w:kern w:val="0"/>
                <w:sz w:val="24"/>
              </w:rPr>
              <w:t>三级指标</w:t>
            </w:r>
          </w:p>
        </w:tc>
        <w:tc>
          <w:tcPr>
            <w:tcW w:w="2136" w:type="dxa"/>
            <w:shd w:val="clear" w:color="auto" w:fill="FFFFFF"/>
            <w:vAlign w:val="center"/>
          </w:tcPr>
          <w:p>
            <w:pPr>
              <w:widowControl/>
              <w:snapToGrid w:val="0"/>
              <w:spacing w:line="240" w:lineRule="auto"/>
              <w:ind w:firstLine="0" w:firstLineChars="0"/>
              <w:jc w:val="center"/>
              <w:rPr>
                <w:rFonts w:ascii="仿宋_GB2312" w:hAnsi="仿宋_GB2312" w:cs="仿宋_GB2312"/>
                <w:b/>
                <w:bCs/>
                <w:color w:val="000000"/>
                <w:kern w:val="0"/>
                <w:sz w:val="24"/>
              </w:rPr>
            </w:pPr>
            <w:r>
              <w:rPr>
                <w:rFonts w:hint="eastAsia" w:ascii="仿宋_GB2312" w:hAnsi="仿宋_GB2312" w:cs="仿宋_GB2312"/>
                <w:b/>
                <w:bCs/>
                <w:color w:val="000000"/>
                <w:kern w:val="0"/>
                <w:sz w:val="24"/>
              </w:rPr>
              <w:t>指标解释</w:t>
            </w:r>
          </w:p>
        </w:tc>
        <w:tc>
          <w:tcPr>
            <w:tcW w:w="3719" w:type="dxa"/>
            <w:shd w:val="clear" w:color="auto" w:fill="FFFFFF"/>
            <w:vAlign w:val="center"/>
          </w:tcPr>
          <w:p>
            <w:pPr>
              <w:widowControl/>
              <w:snapToGrid w:val="0"/>
              <w:spacing w:line="240" w:lineRule="auto"/>
              <w:ind w:firstLine="0" w:firstLineChars="0"/>
              <w:jc w:val="center"/>
              <w:rPr>
                <w:rFonts w:ascii="仿宋_GB2312" w:hAnsi="仿宋_GB2312" w:cs="仿宋_GB2312"/>
                <w:b/>
                <w:bCs/>
                <w:color w:val="000000"/>
                <w:kern w:val="0"/>
                <w:sz w:val="24"/>
              </w:rPr>
            </w:pPr>
            <w:r>
              <w:rPr>
                <w:rFonts w:hint="eastAsia" w:ascii="仿宋_GB2312" w:hAnsi="仿宋_GB2312" w:cs="仿宋_GB2312"/>
                <w:b/>
                <w:bCs/>
                <w:color w:val="000000"/>
                <w:kern w:val="0"/>
                <w:sz w:val="24"/>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决策</w:t>
            </w:r>
          </w:p>
        </w:tc>
        <w:tc>
          <w:tcPr>
            <w:tcW w:w="827"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项目立项</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立项依据</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充分性</w:t>
            </w:r>
          </w:p>
        </w:tc>
        <w:tc>
          <w:tcPr>
            <w:tcW w:w="2136"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项目立项是否符合法律法规、相关政策、发展规划以及部门职责，用以反映和考核项目立项依据情况。</w:t>
            </w:r>
          </w:p>
        </w:tc>
        <w:tc>
          <w:tcPr>
            <w:tcW w:w="3719"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①项目立项是否符合国家法律法规、国民经济发展规划和相关政策；</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②项目立项是否符合行业发展规划和政策要求；</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③项目立项是否与部门职责范围相符，属于部门履职所需；</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④项目是否属于公共财政支持范围，是否符合中央、地方事权支出责任划分原则；</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立项程序</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规范性</w:t>
            </w:r>
          </w:p>
        </w:tc>
        <w:tc>
          <w:tcPr>
            <w:tcW w:w="2136"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项目申请、设立过程是否符合相关要求，用以反映和考核项目立项的规范情况。</w:t>
            </w:r>
          </w:p>
        </w:tc>
        <w:tc>
          <w:tcPr>
            <w:tcW w:w="3719"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①项目是否按照规定的程序申请设立；</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②审批文件、材料是否符合相关要求；</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绩效目标　</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绩效目标</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合理性</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项目所设定的绩效目标是否依据充分，是否符合客观实际，用以反映和考核项目绩效目标与项目实施的相符情况。</w:t>
            </w:r>
          </w:p>
        </w:tc>
        <w:tc>
          <w:tcPr>
            <w:tcW w:w="3719"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（如未设定预算绩效目标，也可考核其他工作任务目标）</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①项目是否有绩效目标；</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②项目绩效目标与实际工作内容是否具有相关性；</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③项目预期产出效益和效果是否符合正常的业绩水平；</w:t>
            </w:r>
          </w:p>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决策　</w:t>
            </w: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绩效目标</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绩效指标</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明确性</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依据绩效目标设定的绩效指标是否清晰、细化、可衡量等，用以反映和考核项目绩效目标的明细化情况。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①是否将项目绩效目标细化分解为具体的绩效指标；</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②是否通过清晰、可衡量的指标值予以体现；</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资金投入</w:t>
            </w:r>
          </w:p>
          <w:p>
            <w:pPr>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　</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预算编制</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科学性</w:t>
            </w:r>
          </w:p>
        </w:tc>
        <w:tc>
          <w:tcPr>
            <w:tcW w:w="2136"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项目预算编制是否经过科学论证、有明确标准，资金额度与年度目标是否相适应，用以反映和考核项目预算编制的科学性、合理性情况。</w:t>
            </w:r>
          </w:p>
        </w:tc>
        <w:tc>
          <w:tcPr>
            <w:tcW w:w="3719"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①预算编制是否经过科学论证；</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②预算内容与项目内容是否匹配；</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③预算额度测算依据是否充分，是否按照标准编制；</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827"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资金分配</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合理性</w:t>
            </w:r>
          </w:p>
        </w:tc>
        <w:tc>
          <w:tcPr>
            <w:tcW w:w="2136"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项目预算资金分配是否有测算依据，与补助单位或地方实际是否相适应，用以反映和考核项目预算资金分配的科学性、合理性情况。</w:t>
            </w:r>
          </w:p>
        </w:tc>
        <w:tc>
          <w:tcPr>
            <w:tcW w:w="3719"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①预算资金分配依据是否充分；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过程</w:t>
            </w:r>
          </w:p>
        </w:tc>
        <w:tc>
          <w:tcPr>
            <w:tcW w:w="827"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资金管理</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资金到位率</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实际到位资金与预算资金的比率，用以反映和考核资金落实情况对项目实施的总体保障程度。</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资金到位率=（实际到位资金/预算资金）×100%。</w:t>
            </w:r>
          </w:p>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实际到位资金：一定时期（本年度或项目期）内落实到具体项目的资金。</w:t>
            </w:r>
          </w:p>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预算执行率</w:t>
            </w:r>
          </w:p>
        </w:tc>
        <w:tc>
          <w:tcPr>
            <w:tcW w:w="2136"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项目预算资金是否按照计划执行，用以反映或考核项目预算执行情况。</w:t>
            </w:r>
          </w:p>
        </w:tc>
        <w:tc>
          <w:tcPr>
            <w:tcW w:w="3719"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预算执行率=（实际支出资金/实际到位资金）×100%。</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　</w:t>
            </w:r>
          </w:p>
          <w:p>
            <w:pPr>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过程　</w:t>
            </w: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资金管理</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资金使用</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合规性</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项目资金使用是否符合相关的财务管理制度规定，用以反映和考核项目资金的规范运行情况。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①是否符合国家财经法规和财务管理制度以及有关专项资金管理办法的规定；</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②资金的拨付是否有完整的审批程序和手续；</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③是否符合项目预算批复或合同规定的用途；</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组织实施</w:t>
            </w:r>
          </w:p>
          <w:p>
            <w:pPr>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　</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管理制度</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健全性</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项目实施单位的财务和业务管理制度是否健全，用以反映和考核财务和业务管理制度对项目顺利实施的保障情况。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①是否已制定或具有相应的财务和业务管理制度；</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827"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制度执行</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有效性</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项目实施是否符合相关管理规定，用以反映和考核相关管理制度的有效执行情况。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①是否遵守相关法律法规和相关管理规定；</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②项目调整及支出调整手续是否完备；</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③项目合同书、验收报告、技术鉴定等资料是否齐全并及时归档；</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产出</w:t>
            </w:r>
          </w:p>
        </w:tc>
        <w:tc>
          <w:tcPr>
            <w:tcW w:w="827"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数量指标</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租用车辆数量</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租用车辆用于搬迁物资反映和考核项目数量产出情况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租用车辆高于40辆并低于50辆得3分，低于40辆不得分，等于或超过50辆得满分。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2"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827"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搬迁工人数量</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雇佣工人帮助搬迁用以反映和考核项目数量产出情况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雇佣搬迁工人高于60人并低于100人得3分，低于60人不得分，等于或超过100人的满分。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产出</w:t>
            </w: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质量指标</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资金支付合规率</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评价资金支付是否合规用以反映和考核项目完成质量情况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资金支付合规率低于100%不得分，等于100%得满分。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时效指标</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资金拨付及时率</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评价资金拨付是否及时用以反映和考核项目按时完成情况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资金拨付及时率低于100%并超过90%得3分，低于90%不得分。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成本指标</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学院新校区迁建经费</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用于新校区搬迁的经费用以反映项目成本控制情况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新校区迁建经费得分=（资金实际拨付数/项目建设资金总数）×标杆分值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80"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效益　</w:t>
            </w: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社会效益指标　</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校区搬迁对市区功能区优化影响</w:t>
            </w:r>
          </w:p>
        </w:tc>
        <w:tc>
          <w:tcPr>
            <w:tcW w:w="2136"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校区搬迁后老校区改做他用，优化了市区功能用以反映和考核项目带来的社会效益情况</w:t>
            </w:r>
          </w:p>
        </w:tc>
        <w:tc>
          <w:tcPr>
            <w:tcW w:w="3719"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指标完成度为80%-100%得10分，60%-80%得8分，0-60%不得分。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80"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可持续影响指标</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保障职业教育有序健康发展</w:t>
            </w:r>
          </w:p>
        </w:tc>
        <w:tc>
          <w:tcPr>
            <w:tcW w:w="2136"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新校区功能更齐全，基础设施得到优化，保障了教学质量用以反映和考核项目对学校发展持续影响情况</w:t>
            </w:r>
          </w:p>
        </w:tc>
        <w:tc>
          <w:tcPr>
            <w:tcW w:w="3719"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指标完成度为80%-100%得10分，60%-80%得8分，0-60%不得分。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满意度</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搬迁雇佣人员满意度</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社会及雇佣工人满意度用以反映和监督项目的实施社会满意情况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搬迁人员调查满意度超过80%并低于90%得5分，低于80%不得分，等于或超过90%得满分。</w:t>
            </w:r>
          </w:p>
        </w:tc>
      </w:tr>
    </w:tbl>
    <w:p>
      <w:pPr>
        <w:pStyle w:val="2"/>
        <w:ind w:firstLine="562"/>
      </w:pPr>
      <w:r>
        <w:rPr>
          <w:rFonts w:hint="eastAsia"/>
        </w:rPr>
        <w:t>3.评价方法</w:t>
      </w:r>
    </w:p>
    <w:p>
      <w:pPr>
        <w:ind w:firstLine="560"/>
      </w:pPr>
      <w:r>
        <w:rPr>
          <w:rFonts w:hint="eastAsia"/>
        </w:rPr>
        <w:t>本次绩效评价采用的方法是比较法、公众评判法对项目绩效目标预期指标值与实施情况进行比较，以及采取公众问卷及抽样调查等方式进行评判的方法对该项目进行评价。</w:t>
      </w:r>
    </w:p>
    <w:p>
      <w:pPr>
        <w:pStyle w:val="2"/>
        <w:ind w:firstLine="562"/>
      </w:pPr>
      <w:r>
        <w:rPr>
          <w:rFonts w:hint="eastAsia"/>
        </w:rPr>
        <w:t>4.评价标准</w:t>
      </w:r>
    </w:p>
    <w:p>
      <w:pPr>
        <w:ind w:firstLine="560"/>
        <w:rPr>
          <w:color w:val="FF0000"/>
        </w:rPr>
      </w:pPr>
      <w:r>
        <w:rPr>
          <w:rFonts w:hint="eastAsia"/>
        </w:rPr>
        <w:t>本次绩效评价采用的标准计划标准对绩效指标完成情况进行对比。</w:t>
      </w:r>
    </w:p>
    <w:p>
      <w:pPr>
        <w:pStyle w:val="4"/>
        <w:ind w:left="420" w:firstLine="0" w:firstLineChars="0"/>
      </w:pPr>
      <w:r>
        <w:rPr>
          <w:rFonts w:hint="eastAsia"/>
        </w:rPr>
        <w:t>（三）绩效评价工作过程</w:t>
      </w:r>
    </w:p>
    <w:p>
      <w:pPr>
        <w:ind w:firstLine="560"/>
      </w:pPr>
      <w:r>
        <w:rPr>
          <w:rFonts w:hint="eastAsia"/>
        </w:rPr>
        <w:t>本次评价成立了评价工作组，成员如下：</w:t>
      </w:r>
    </w:p>
    <w:tbl>
      <w:tblPr>
        <w:tblStyle w:val="10"/>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17"/>
              <w:keepNext w:val="0"/>
              <w:keepLines w:val="0"/>
              <w:numPr>
                <w:ilvl w:val="0"/>
                <w:numId w:val="0"/>
              </w:numPr>
              <w:spacing w:line="240" w:lineRule="atLeast"/>
              <w:jc w:val="center"/>
              <w:rPr>
                <w:b w:val="0"/>
                <w:sz w:val="28"/>
              </w:rPr>
            </w:pPr>
            <w:r>
              <w:rPr>
                <w:rFonts w:hint="eastAsia"/>
                <w:b w:val="0"/>
                <w:sz w:val="28"/>
              </w:rPr>
              <w:t>工作组成员姓名</w:t>
            </w:r>
          </w:p>
        </w:tc>
        <w:tc>
          <w:tcPr>
            <w:tcW w:w="2765" w:type="dxa"/>
            <w:vAlign w:val="center"/>
          </w:tcPr>
          <w:p>
            <w:pPr>
              <w:pStyle w:val="17"/>
              <w:keepNext w:val="0"/>
              <w:keepLines w:val="0"/>
              <w:numPr>
                <w:ilvl w:val="0"/>
                <w:numId w:val="0"/>
              </w:numPr>
              <w:spacing w:line="240" w:lineRule="atLeast"/>
              <w:jc w:val="center"/>
              <w:rPr>
                <w:b w:val="0"/>
                <w:sz w:val="28"/>
              </w:rPr>
            </w:pPr>
            <w:r>
              <w:rPr>
                <w:rFonts w:hint="eastAsia"/>
                <w:b w:val="0"/>
                <w:sz w:val="28"/>
              </w:rPr>
              <w:t>职责</w:t>
            </w:r>
          </w:p>
        </w:tc>
        <w:tc>
          <w:tcPr>
            <w:tcW w:w="2766" w:type="dxa"/>
            <w:vAlign w:val="center"/>
          </w:tcPr>
          <w:p>
            <w:pPr>
              <w:pStyle w:val="17"/>
              <w:keepNext w:val="0"/>
              <w:keepLines w:val="0"/>
              <w:numPr>
                <w:ilvl w:val="0"/>
                <w:numId w:val="0"/>
              </w:numPr>
              <w:spacing w:line="240" w:lineRule="atLeast"/>
              <w:jc w:val="center"/>
              <w:rPr>
                <w:b w:val="0"/>
                <w:sz w:val="28"/>
              </w:rPr>
            </w:pPr>
            <w:r>
              <w:rPr>
                <w:rFonts w:hint="eastAsia"/>
                <w:b w:val="0"/>
                <w:sz w:val="28"/>
              </w:rPr>
              <w:t>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17"/>
              <w:keepNext w:val="0"/>
              <w:keepLines w:val="0"/>
              <w:numPr>
                <w:ilvl w:val="0"/>
                <w:numId w:val="0"/>
              </w:numPr>
              <w:spacing w:line="240" w:lineRule="atLeast"/>
              <w:jc w:val="center"/>
              <w:rPr>
                <w:b w:val="0"/>
                <w:sz w:val="28"/>
              </w:rPr>
            </w:pPr>
            <w:r>
              <w:rPr>
                <w:rFonts w:hint="eastAsia"/>
                <w:b w:val="0"/>
                <w:sz w:val="28"/>
              </w:rPr>
              <w:t>蒲思雄</w:t>
            </w:r>
          </w:p>
        </w:tc>
        <w:tc>
          <w:tcPr>
            <w:tcW w:w="2765" w:type="dxa"/>
            <w:vAlign w:val="center"/>
          </w:tcPr>
          <w:p>
            <w:pPr>
              <w:pStyle w:val="17"/>
              <w:keepNext w:val="0"/>
              <w:keepLines w:val="0"/>
              <w:numPr>
                <w:ilvl w:val="0"/>
                <w:numId w:val="0"/>
              </w:numPr>
              <w:spacing w:line="240" w:lineRule="atLeast"/>
              <w:jc w:val="center"/>
              <w:rPr>
                <w:b w:val="0"/>
                <w:sz w:val="28"/>
              </w:rPr>
            </w:pPr>
            <w:r>
              <w:rPr>
                <w:rFonts w:hint="eastAsia"/>
                <w:b w:val="0"/>
                <w:sz w:val="28"/>
              </w:rPr>
              <w:t>评价组组长</w:t>
            </w:r>
          </w:p>
        </w:tc>
        <w:tc>
          <w:tcPr>
            <w:tcW w:w="2766" w:type="dxa"/>
            <w:vAlign w:val="center"/>
          </w:tcPr>
          <w:p>
            <w:pPr>
              <w:pStyle w:val="17"/>
              <w:keepNext w:val="0"/>
              <w:keepLines w:val="0"/>
              <w:numPr>
                <w:ilvl w:val="0"/>
                <w:numId w:val="0"/>
              </w:numPr>
              <w:spacing w:line="240" w:lineRule="atLeast"/>
              <w:jc w:val="center"/>
              <w:rPr>
                <w:b w:val="0"/>
                <w:sz w:val="28"/>
              </w:rPr>
            </w:pPr>
            <w:r>
              <w:rPr>
                <w:rFonts w:hint="eastAsia"/>
                <w:b w:val="0"/>
                <w:sz w:val="28"/>
              </w:rPr>
              <w:t>制定评价标准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17"/>
              <w:keepNext w:val="0"/>
              <w:keepLines w:val="0"/>
              <w:numPr>
                <w:ilvl w:val="0"/>
                <w:numId w:val="0"/>
              </w:numPr>
              <w:spacing w:line="240" w:lineRule="atLeast"/>
              <w:jc w:val="center"/>
              <w:rPr>
                <w:b w:val="0"/>
                <w:sz w:val="28"/>
              </w:rPr>
            </w:pPr>
            <w:r>
              <w:rPr>
                <w:rFonts w:hint="eastAsia"/>
                <w:b w:val="0"/>
                <w:sz w:val="28"/>
              </w:rPr>
              <w:t>买尼沙木·亚生</w:t>
            </w:r>
          </w:p>
        </w:tc>
        <w:tc>
          <w:tcPr>
            <w:tcW w:w="2765" w:type="dxa"/>
            <w:vAlign w:val="center"/>
          </w:tcPr>
          <w:p>
            <w:pPr>
              <w:pStyle w:val="17"/>
              <w:keepNext w:val="0"/>
              <w:keepLines w:val="0"/>
              <w:numPr>
                <w:ilvl w:val="0"/>
                <w:numId w:val="0"/>
              </w:numPr>
              <w:spacing w:line="240" w:lineRule="atLeast"/>
              <w:jc w:val="center"/>
              <w:rPr>
                <w:b w:val="0"/>
                <w:sz w:val="28"/>
              </w:rPr>
            </w:pPr>
            <w:r>
              <w:rPr>
                <w:rFonts w:hint="eastAsia"/>
                <w:b w:val="0"/>
                <w:sz w:val="28"/>
              </w:rPr>
              <w:t>评价组成员</w:t>
            </w:r>
          </w:p>
        </w:tc>
        <w:tc>
          <w:tcPr>
            <w:tcW w:w="2766" w:type="dxa"/>
            <w:vAlign w:val="center"/>
          </w:tcPr>
          <w:p>
            <w:pPr>
              <w:pStyle w:val="17"/>
              <w:keepNext w:val="0"/>
              <w:keepLines w:val="0"/>
              <w:numPr>
                <w:ilvl w:val="0"/>
                <w:numId w:val="0"/>
              </w:numPr>
              <w:spacing w:line="240" w:lineRule="atLeast"/>
              <w:jc w:val="center"/>
              <w:rPr>
                <w:b w:val="0"/>
                <w:sz w:val="28"/>
              </w:rPr>
            </w:pPr>
            <w:r>
              <w:rPr>
                <w:rFonts w:hint="eastAsia"/>
                <w:b w:val="0"/>
                <w:sz w:val="28"/>
              </w:rPr>
              <w:t>通过资料分析、调研、访谈满意度调查等方式形成评价结论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65" w:type="dxa"/>
            <w:vAlign w:val="center"/>
          </w:tcPr>
          <w:p>
            <w:pPr>
              <w:pStyle w:val="17"/>
              <w:keepNext w:val="0"/>
              <w:keepLines w:val="0"/>
              <w:numPr>
                <w:ilvl w:val="0"/>
                <w:numId w:val="0"/>
              </w:numPr>
              <w:spacing w:line="240" w:lineRule="atLeast"/>
              <w:jc w:val="center"/>
              <w:rPr>
                <w:b w:val="0"/>
                <w:sz w:val="28"/>
              </w:rPr>
            </w:pPr>
            <w:r>
              <w:rPr>
                <w:rFonts w:hint="eastAsia"/>
                <w:b w:val="0"/>
                <w:sz w:val="28"/>
              </w:rPr>
              <w:t>田建苏</w:t>
            </w:r>
          </w:p>
        </w:tc>
        <w:tc>
          <w:tcPr>
            <w:tcW w:w="2765" w:type="dxa"/>
            <w:vAlign w:val="center"/>
          </w:tcPr>
          <w:p>
            <w:pPr>
              <w:pStyle w:val="17"/>
              <w:keepNext w:val="0"/>
              <w:keepLines w:val="0"/>
              <w:numPr>
                <w:ilvl w:val="0"/>
                <w:numId w:val="0"/>
              </w:numPr>
              <w:spacing w:line="240" w:lineRule="atLeast"/>
              <w:jc w:val="center"/>
              <w:rPr>
                <w:b w:val="0"/>
                <w:sz w:val="28"/>
              </w:rPr>
            </w:pPr>
            <w:r>
              <w:rPr>
                <w:rFonts w:hint="eastAsia"/>
                <w:b w:val="0"/>
                <w:sz w:val="28"/>
              </w:rPr>
              <w:t>评价组成员</w:t>
            </w:r>
          </w:p>
        </w:tc>
        <w:tc>
          <w:tcPr>
            <w:tcW w:w="2766" w:type="dxa"/>
            <w:vAlign w:val="center"/>
          </w:tcPr>
          <w:p>
            <w:pPr>
              <w:pStyle w:val="17"/>
              <w:keepNext w:val="0"/>
              <w:keepLines w:val="0"/>
              <w:numPr>
                <w:ilvl w:val="0"/>
                <w:numId w:val="0"/>
              </w:numPr>
              <w:spacing w:line="240" w:lineRule="atLeast"/>
              <w:jc w:val="center"/>
              <w:rPr>
                <w:b w:val="0"/>
                <w:sz w:val="28"/>
              </w:rPr>
            </w:pPr>
            <w:r>
              <w:rPr>
                <w:rFonts w:hint="eastAsia"/>
                <w:b w:val="0"/>
                <w:sz w:val="28"/>
              </w:rPr>
              <w:t>确定评价意见，并出具评价报告</w:t>
            </w:r>
          </w:p>
        </w:tc>
      </w:tr>
    </w:tbl>
    <w:p>
      <w:pPr>
        <w:ind w:firstLine="560"/>
      </w:pPr>
      <w:r>
        <w:rPr>
          <w:rFonts w:hint="eastAsia"/>
        </w:rPr>
        <w:t>本次评价设计了评价方案、评价指标体系，通过资料分析、调研、访谈满意度调查等方式形成评价结论，确定评价意见，并出具评价报告。</w:t>
      </w:r>
    </w:p>
    <w:p>
      <w:pPr>
        <w:pStyle w:val="3"/>
        <w:numPr>
          <w:ilvl w:val="0"/>
          <w:numId w:val="5"/>
        </w:numPr>
        <w:ind w:firstLine="640"/>
      </w:pPr>
      <w:r>
        <w:rPr>
          <w:rFonts w:hint="eastAsia"/>
        </w:rPr>
        <w:t>综合评价情况及评价结论</w:t>
      </w:r>
    </w:p>
    <w:p>
      <w:pPr>
        <w:ind w:firstLine="560"/>
        <w:rPr>
          <w:lang w:val="zh-TW"/>
        </w:rPr>
      </w:pPr>
      <w:r>
        <w:rPr>
          <w:rFonts w:hint="eastAsia"/>
        </w:rPr>
        <w:t>此次绩效评价</w:t>
      </w:r>
      <w:r>
        <w:rPr>
          <w:rFonts w:hint="eastAsia"/>
          <w:lang w:val="zh-TW" w:eastAsia="zh-TW"/>
        </w:rPr>
        <w:t>通过组论证的评价指标体系及评分标准，</w:t>
      </w:r>
      <w:r>
        <w:rPr>
          <w:rFonts w:hint="eastAsia"/>
        </w:rPr>
        <w:t>采用的方法比较法、公众评判法，</w:t>
      </w:r>
      <w:r>
        <w:rPr>
          <w:rFonts w:hint="eastAsia"/>
          <w:lang w:val="zh-TW" w:eastAsia="zh-TW"/>
        </w:rPr>
        <w:t>对</w:t>
      </w:r>
      <w:r>
        <w:rPr>
          <w:rFonts w:hint="eastAsia"/>
        </w:rPr>
        <w:t>学院新校区迁建经费项目</w:t>
      </w:r>
      <w:r>
        <w:rPr>
          <w:rFonts w:hint="eastAsia"/>
          <w:lang w:val="zh-TW" w:eastAsia="zh-TW"/>
        </w:rPr>
        <w:t>绩效进行客观评价，最终评分结果：总分为</w:t>
      </w:r>
      <w:r>
        <w:rPr>
          <w:rFonts w:hint="eastAsia"/>
        </w:rPr>
        <w:t>100.00</w:t>
      </w:r>
      <w:r>
        <w:rPr>
          <w:rFonts w:hint="eastAsia"/>
          <w:lang w:val="zh-TW" w:eastAsia="zh-TW"/>
        </w:rPr>
        <w:t>分，绩效评级为“</w:t>
      </w:r>
      <w:r>
        <w:rPr>
          <w:rFonts w:hint="eastAsia"/>
          <w:lang w:val="zh-TW"/>
        </w:rPr>
        <w:t>优秀</w:t>
      </w:r>
      <w:r>
        <w:rPr>
          <w:rFonts w:hint="eastAsia"/>
          <w:lang w:val="zh-TW" w:eastAsia="zh-TW"/>
        </w:rPr>
        <w:t>”。各部分权重和绩效</w:t>
      </w:r>
      <w:r>
        <w:rPr>
          <w:rFonts w:hint="eastAsia"/>
        </w:rPr>
        <w:t>汇总</w:t>
      </w:r>
      <w:r>
        <w:rPr>
          <w:rFonts w:hint="eastAsia"/>
          <w:lang w:val="zh-TW" w:eastAsia="zh-TW"/>
        </w:rPr>
        <w:t>分值如下表所示：</w:t>
      </w:r>
    </w:p>
    <w:tbl>
      <w:tblPr>
        <w:tblStyle w:val="9"/>
        <w:tblW w:w="8289" w:type="dxa"/>
        <w:jc w:val="center"/>
        <w:tblLayout w:type="fixed"/>
        <w:tblCellMar>
          <w:top w:w="0" w:type="dxa"/>
          <w:left w:w="0" w:type="dxa"/>
          <w:bottom w:w="0" w:type="dxa"/>
          <w:right w:w="0" w:type="dxa"/>
        </w:tblCellMar>
      </w:tblPr>
      <w:tblGrid>
        <w:gridCol w:w="1094"/>
        <w:gridCol w:w="1361"/>
        <w:gridCol w:w="1361"/>
        <w:gridCol w:w="1361"/>
        <w:gridCol w:w="1623"/>
        <w:gridCol w:w="1489"/>
      </w:tblGrid>
      <w:tr>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表3-1：学院新校区迁建经费项目得分表</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sz w:val="24"/>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sz w:val="24"/>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sz w:val="24"/>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sz w:val="24"/>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100%</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100%</w:t>
            </w:r>
          </w:p>
        </w:tc>
      </w:tr>
    </w:tbl>
    <w:p>
      <w:pPr>
        <w:pStyle w:val="3"/>
        <w:ind w:firstLine="640"/>
      </w:pPr>
      <w:r>
        <w:rPr>
          <w:rFonts w:hint="eastAsia"/>
        </w:rPr>
        <w:t>四、绩效评价指标分析</w:t>
      </w:r>
    </w:p>
    <w:p>
      <w:pPr>
        <w:pStyle w:val="4"/>
        <w:ind w:firstLine="643"/>
      </w:pPr>
      <w:r>
        <w:rPr>
          <w:rFonts w:hint="eastAsia"/>
        </w:rPr>
        <w:t>（一）项目决策情况</w:t>
      </w:r>
    </w:p>
    <w:p>
      <w:pPr>
        <w:ind w:firstLine="560"/>
      </w:pPr>
      <w:r>
        <w:rPr>
          <w:rFonts w:hint="eastAsia"/>
        </w:rPr>
        <w:t>项目决策由3个二级指标和6个三级指标构成，权重分20分，实际得分20分，</w:t>
      </w:r>
      <w:r>
        <w:rPr>
          <w:rFonts w:hint="eastAsia"/>
          <w:color w:val="000000"/>
          <w:u w:color="000000"/>
          <w:lang w:val="zh-TW" w:eastAsia="zh-TW"/>
        </w:rPr>
        <w:t>各指标业绩值和绩效分值如表</w:t>
      </w:r>
      <w:r>
        <w:rPr>
          <w:rFonts w:hint="eastAsia"/>
          <w:color w:val="000000"/>
          <w:u w:color="000000"/>
        </w:rPr>
        <w:t>4</w:t>
      </w:r>
      <w:r>
        <w:rPr>
          <w:color w:val="000000"/>
          <w:u w:color="000000"/>
        </w:rPr>
        <w:t>-1</w:t>
      </w:r>
      <w:r>
        <w:rPr>
          <w:rFonts w:hint="eastAsia"/>
          <w:color w:val="000000"/>
          <w:u w:color="000000"/>
          <w:lang w:val="zh-TW" w:eastAsia="zh-TW"/>
        </w:rPr>
        <w:t>所示</w:t>
      </w:r>
      <w:r>
        <w:rPr>
          <w:rFonts w:hint="eastAsia"/>
        </w:rPr>
        <w:t>：</w:t>
      </w:r>
    </w:p>
    <w:p>
      <w:pPr>
        <w:keepNext/>
        <w:keepLines/>
        <w:ind w:firstLine="562"/>
        <w:jc w:val="center"/>
      </w:pPr>
      <w:r>
        <w:rPr>
          <w:rFonts w:hint="eastAsia"/>
          <w:b/>
          <w:bCs/>
          <w:color w:val="000000"/>
          <w:u w:color="000000"/>
          <w:lang w:val="zh-TW" w:eastAsia="zh-TW"/>
        </w:rPr>
        <w:t>表</w:t>
      </w:r>
      <w:r>
        <w:rPr>
          <w:rFonts w:hint="eastAsia"/>
          <w:b/>
          <w:bCs/>
          <w:color w:val="000000"/>
          <w:u w:color="000000"/>
        </w:rPr>
        <w:t>4</w:t>
      </w:r>
      <w:r>
        <w:rPr>
          <w:b/>
          <w:bCs/>
          <w:color w:val="000000"/>
          <w:u w:color="000000"/>
        </w:rPr>
        <w:t>-1</w:t>
      </w:r>
      <w:r>
        <w:rPr>
          <w:rFonts w:hint="eastAsia"/>
          <w:b/>
          <w:bCs/>
          <w:color w:val="000000"/>
          <w:u w:color="000000"/>
          <w:lang w:val="zh-TW" w:eastAsia="zh-TW"/>
        </w:rPr>
        <w:t>项目决策指标及分值</w:t>
      </w:r>
    </w:p>
    <w:tbl>
      <w:tblPr>
        <w:tblStyle w:val="9"/>
        <w:tblW w:w="8447" w:type="dxa"/>
        <w:jc w:val="center"/>
        <w:tblLayout w:type="fixed"/>
        <w:tblCellMar>
          <w:top w:w="0" w:type="dxa"/>
          <w:left w:w="0" w:type="dxa"/>
          <w:bottom w:w="0" w:type="dxa"/>
          <w:right w:w="0" w:type="dxa"/>
        </w:tblCellMar>
      </w:tblPr>
      <w:tblGrid>
        <w:gridCol w:w="1077"/>
        <w:gridCol w:w="960"/>
        <w:gridCol w:w="1251"/>
        <w:gridCol w:w="794"/>
        <w:gridCol w:w="1871"/>
        <w:gridCol w:w="1417"/>
        <w:gridCol w:w="1077"/>
      </w:tblGrid>
      <w:tr>
        <w:tblPrEx>
          <w:tblCellMar>
            <w:top w:w="0" w:type="dxa"/>
            <w:left w:w="0" w:type="dxa"/>
            <w:bottom w:w="0" w:type="dxa"/>
            <w:right w:w="0" w:type="dxa"/>
          </w:tblCellMar>
        </w:tblPrEx>
        <w:trPr>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分值</w:t>
            </w:r>
          </w:p>
        </w:tc>
        <w:tc>
          <w:tcPr>
            <w:tcW w:w="12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分值</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三级指标</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得分</w:t>
            </w:r>
          </w:p>
        </w:tc>
      </w:tr>
      <w:tr>
        <w:tblPrEx>
          <w:tblCellMar>
            <w:top w:w="0" w:type="dxa"/>
            <w:left w:w="0" w:type="dxa"/>
            <w:bottom w:w="0" w:type="dxa"/>
            <w:right w:w="0" w:type="dxa"/>
          </w:tblCellMar>
        </w:tblPrEx>
        <w:trPr>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c>
          <w:tcPr>
            <w:tcW w:w="125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项目立项　</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立项依据充分性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p>
        </w:tc>
        <w:tc>
          <w:tcPr>
            <w:tcW w:w="125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立项程序规范性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3</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25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10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绩效目标合理性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2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绩效指标明确性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25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r>
              <w:rPr>
                <w:rFonts w:hint="eastAsia" w:ascii="仿宋_GB2312" w:hAnsiTheme="minorEastAsia" w:cstheme="minorEastAsia"/>
                <w:color w:val="000000"/>
                <w:sz w:val="24"/>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预算编制科学性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25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资金分配合理性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3</w:t>
            </w:r>
          </w:p>
        </w:tc>
      </w:tr>
      <w:tr>
        <w:tblPrEx>
          <w:tblCellMar>
            <w:top w:w="0" w:type="dxa"/>
            <w:left w:w="0" w:type="dxa"/>
            <w:bottom w:w="0" w:type="dxa"/>
            <w:right w:w="0" w:type="dxa"/>
          </w:tblCellMar>
        </w:tblPrEx>
        <w:trPr>
          <w:trHeight w:val="334" w:hRule="atLeast"/>
          <w:tblHeader/>
          <w:jc w:val="center"/>
        </w:trPr>
        <w:tc>
          <w:tcPr>
            <w:tcW w:w="328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r>
              <w:rPr>
                <w:rFonts w:hint="eastAsia" w:ascii="仿宋_GB2312" w:hAnsiTheme="minorEastAsia" w:cstheme="minorEastAsia"/>
                <w:color w:val="000000"/>
                <w:sz w:val="24"/>
              </w:rPr>
              <w:t>合计</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left"/>
              <w:textAlignment w:val="center"/>
              <w:rPr>
                <w:rFonts w:ascii="仿宋_GB2312" w:hAnsiTheme="minorEastAsia" w:cstheme="minorEastAsia"/>
                <w:color w:val="000000"/>
                <w:sz w:val="24"/>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r>
    </w:tbl>
    <w:p>
      <w:pPr>
        <w:pStyle w:val="4"/>
        <w:ind w:firstLine="643"/>
      </w:pPr>
      <w:r>
        <w:rPr>
          <w:rFonts w:hint="eastAsia"/>
        </w:rPr>
        <w:t>（二）项目过程情况</w:t>
      </w:r>
    </w:p>
    <w:p>
      <w:pPr>
        <w:ind w:firstLine="560"/>
        <w:rPr>
          <w:color w:val="000000"/>
          <w:u w:color="000000"/>
          <w:lang w:val="zh-TW" w:eastAsia="zh-TW"/>
        </w:rPr>
      </w:pPr>
      <w:r>
        <w:rPr>
          <w:rFonts w:hint="eastAsia"/>
          <w:color w:val="000000"/>
          <w:u w:color="000000"/>
          <w:lang w:val="zh-TW" w:eastAsia="zh-TW"/>
        </w:rPr>
        <w:t>项目</w:t>
      </w:r>
      <w:r>
        <w:rPr>
          <w:rFonts w:hint="eastAsia" w:ascii="仿宋_GB2312"/>
        </w:rPr>
        <w:t>过程</w:t>
      </w:r>
      <w:r>
        <w:rPr>
          <w:rFonts w:hint="eastAsia"/>
          <w:color w:val="000000"/>
          <w:u w:color="000000"/>
        </w:rPr>
        <w:t>管理</w:t>
      </w:r>
      <w:r>
        <w:rPr>
          <w:rFonts w:hint="eastAsia"/>
          <w:color w:val="000000"/>
          <w:u w:color="000000"/>
          <w:lang w:val="zh-TW" w:eastAsia="zh-TW"/>
        </w:rPr>
        <w:t>类指标由</w:t>
      </w:r>
      <w:r>
        <w:rPr>
          <w:rFonts w:hint="eastAsia"/>
          <w:color w:val="000000"/>
          <w:u w:color="000000"/>
        </w:rPr>
        <w:t>2</w:t>
      </w:r>
      <w:r>
        <w:rPr>
          <w:rFonts w:hint="eastAsia"/>
          <w:color w:val="000000"/>
          <w:u w:color="000000"/>
          <w:lang w:val="zh-TW" w:eastAsia="zh-TW"/>
        </w:rPr>
        <w:t>个</w:t>
      </w:r>
      <w:r>
        <w:rPr>
          <w:rFonts w:hint="eastAsia"/>
          <w:color w:val="000000"/>
          <w:u w:color="000000"/>
          <w:lang w:val="zh-TW"/>
        </w:rPr>
        <w:t>二</w:t>
      </w:r>
      <w:r>
        <w:rPr>
          <w:rFonts w:hint="eastAsia"/>
          <w:color w:val="000000"/>
          <w:u w:color="000000"/>
          <w:lang w:val="zh-TW" w:eastAsia="zh-TW"/>
        </w:rPr>
        <w:t>级指标和</w:t>
      </w:r>
      <w:r>
        <w:rPr>
          <w:rFonts w:hint="eastAsia"/>
          <w:color w:val="000000"/>
          <w:u w:color="000000"/>
        </w:rPr>
        <w:t>5</w:t>
      </w:r>
      <w:r>
        <w:rPr>
          <w:rFonts w:hint="eastAsia"/>
          <w:color w:val="000000"/>
          <w:u w:color="000000"/>
          <w:lang w:val="zh-TW" w:eastAsia="zh-TW"/>
        </w:rPr>
        <w:t>个</w:t>
      </w:r>
      <w:r>
        <w:rPr>
          <w:rFonts w:hint="eastAsia"/>
          <w:color w:val="000000"/>
          <w:u w:color="000000"/>
        </w:rPr>
        <w:t>三</w:t>
      </w:r>
      <w:r>
        <w:rPr>
          <w:rFonts w:hint="eastAsia"/>
          <w:color w:val="000000"/>
          <w:u w:color="000000"/>
          <w:lang w:val="zh-TW" w:eastAsia="zh-TW"/>
        </w:rPr>
        <w:t>级指标构成，权重分</w:t>
      </w:r>
      <w:r>
        <w:rPr>
          <w:rFonts w:hint="eastAsia"/>
          <w:color w:val="000000"/>
          <w:u w:color="000000"/>
        </w:rPr>
        <w:t>20</w:t>
      </w:r>
      <w:r>
        <w:rPr>
          <w:rFonts w:hint="eastAsia"/>
          <w:color w:val="000000"/>
          <w:u w:color="000000"/>
          <w:lang w:val="zh-TW" w:eastAsia="zh-TW"/>
        </w:rPr>
        <w:t>分，实际得分</w:t>
      </w:r>
      <w:r>
        <w:rPr>
          <w:rFonts w:hint="eastAsia"/>
          <w:color w:val="000000"/>
          <w:u w:color="000000"/>
        </w:rPr>
        <w:t>20</w:t>
      </w:r>
      <w:r>
        <w:rPr>
          <w:rFonts w:hint="eastAsia"/>
          <w:color w:val="000000"/>
          <w:u w:color="000000"/>
          <w:lang w:val="zh-TW" w:eastAsia="zh-TW"/>
        </w:rPr>
        <w:t>分</w:t>
      </w:r>
      <w:r>
        <w:rPr>
          <w:rFonts w:hint="eastAsia"/>
          <w:color w:val="000000"/>
          <w:u w:color="000000"/>
          <w:lang w:val="zh-TW"/>
        </w:rPr>
        <w:t>，</w:t>
      </w:r>
      <w:r>
        <w:rPr>
          <w:rFonts w:hint="eastAsia"/>
          <w:color w:val="000000"/>
          <w:u w:color="000000"/>
          <w:lang w:val="zh-TW" w:eastAsia="zh-TW"/>
        </w:rPr>
        <w:t>各指标业绩值和绩效分值如表</w:t>
      </w:r>
      <w:r>
        <w:rPr>
          <w:rFonts w:hint="eastAsia"/>
          <w:color w:val="000000"/>
          <w:u w:color="000000"/>
        </w:rPr>
        <w:t>4</w:t>
      </w:r>
      <w:r>
        <w:rPr>
          <w:color w:val="000000"/>
          <w:u w:color="000000"/>
        </w:rPr>
        <w:t>-</w:t>
      </w:r>
      <w:r>
        <w:rPr>
          <w:rFonts w:hint="eastAsia"/>
          <w:color w:val="000000"/>
          <w:u w:color="000000"/>
        </w:rPr>
        <w:t>2</w:t>
      </w:r>
      <w:r>
        <w:rPr>
          <w:rFonts w:hint="eastAsia"/>
          <w:color w:val="000000"/>
          <w:u w:color="000000"/>
          <w:lang w:val="zh-TW" w:eastAsia="zh-TW"/>
        </w:rPr>
        <w:t>所示：</w:t>
      </w:r>
    </w:p>
    <w:p>
      <w:pPr>
        <w:ind w:firstLine="562"/>
        <w:jc w:val="center"/>
        <w:rPr>
          <w:b/>
          <w:bCs/>
          <w:color w:val="000000"/>
          <w:u w:color="000000"/>
        </w:rPr>
      </w:pPr>
      <w:r>
        <w:rPr>
          <w:rFonts w:hint="eastAsia"/>
          <w:b/>
          <w:bCs/>
          <w:color w:val="000000"/>
          <w:u w:color="000000"/>
          <w:lang w:val="zh-TW" w:eastAsia="zh-TW"/>
        </w:rPr>
        <w:t>表</w:t>
      </w:r>
      <w:r>
        <w:rPr>
          <w:rFonts w:hint="eastAsia"/>
          <w:b/>
          <w:bCs/>
          <w:color w:val="000000"/>
          <w:u w:color="000000"/>
        </w:rPr>
        <w:t>4</w:t>
      </w:r>
      <w:r>
        <w:rPr>
          <w:b/>
          <w:bCs/>
          <w:color w:val="000000"/>
          <w:u w:color="000000"/>
        </w:rPr>
        <w:t>-</w:t>
      </w:r>
      <w:r>
        <w:rPr>
          <w:rFonts w:hint="eastAsia"/>
          <w:b/>
          <w:bCs/>
          <w:color w:val="000000"/>
          <w:u w:color="000000"/>
        </w:rPr>
        <w:t>2</w:t>
      </w:r>
      <w:r>
        <w:rPr>
          <w:rFonts w:hint="eastAsia"/>
          <w:b/>
          <w:bCs/>
          <w:color w:val="000000"/>
          <w:u w:color="000000"/>
          <w:lang w:val="zh-TW" w:eastAsia="zh-TW"/>
        </w:rPr>
        <w:t>项目</w:t>
      </w:r>
      <w:r>
        <w:rPr>
          <w:rFonts w:hint="eastAsia"/>
          <w:b/>
          <w:bCs/>
          <w:color w:val="000000"/>
          <w:u w:color="000000"/>
          <w:lang w:val="zh-TW"/>
        </w:rPr>
        <w:t>管理</w:t>
      </w:r>
      <w:r>
        <w:rPr>
          <w:rFonts w:hint="eastAsia"/>
          <w:b/>
          <w:bCs/>
          <w:color w:val="000000"/>
          <w:u w:color="000000"/>
          <w:lang w:val="zh-TW" w:eastAsia="zh-TW"/>
        </w:rPr>
        <w:t>指标及分值</w:t>
      </w:r>
      <w:r>
        <w:rPr>
          <w:rFonts w:hint="eastAsia"/>
          <w:b/>
          <w:bCs/>
          <w:color w:val="000000"/>
          <w:u w:color="000000"/>
        </w:rPr>
        <w:t>情况</w:t>
      </w:r>
    </w:p>
    <w:tbl>
      <w:tblPr>
        <w:tblStyle w:val="9"/>
        <w:tblW w:w="8317" w:type="dxa"/>
        <w:jc w:val="center"/>
        <w:tblLayout w:type="fixed"/>
        <w:tblCellMar>
          <w:top w:w="0" w:type="dxa"/>
          <w:left w:w="0" w:type="dxa"/>
          <w:bottom w:w="0" w:type="dxa"/>
          <w:right w:w="0" w:type="dxa"/>
        </w:tblCellMar>
      </w:tblPr>
      <w:tblGrid>
        <w:gridCol w:w="1182"/>
        <w:gridCol w:w="738"/>
        <w:gridCol w:w="1248"/>
        <w:gridCol w:w="1176"/>
        <w:gridCol w:w="1644"/>
        <w:gridCol w:w="1176"/>
        <w:gridCol w:w="1153"/>
      </w:tblGrid>
      <w:tr>
        <w:tblPrEx>
          <w:tblCellMar>
            <w:top w:w="0" w:type="dxa"/>
            <w:left w:w="0" w:type="dxa"/>
            <w:bottom w:w="0" w:type="dxa"/>
            <w:right w:w="0" w:type="dxa"/>
          </w:tblCellMar>
        </w:tblPrEx>
        <w:trPr>
          <w:trHeight w:val="23"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分值</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三级指标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12</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left"/>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2"/>
                <w:szCs w:val="22"/>
              </w:rPr>
              <w:t>资金到位率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rPr>
            </w:pPr>
            <w:r>
              <w:rPr>
                <w:rFonts w:hint="eastAsia" w:ascii="仿宋_GB2312" w:hAnsiTheme="minorEastAsia" w:cstheme="minorEastAsia"/>
                <w:sz w:val="24"/>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left"/>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2"/>
                <w:szCs w:val="22"/>
              </w:rPr>
              <w:t>预算执行率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rPr>
            </w:pPr>
            <w:r>
              <w:rPr>
                <w:rFonts w:hint="eastAsia" w:ascii="仿宋_GB2312" w:hAnsiTheme="minorEastAsia" w:cstheme="minorEastAsia"/>
                <w:sz w:val="24"/>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left"/>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2"/>
                <w:szCs w:val="22"/>
              </w:rPr>
              <w:t>资金使用合规性</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rPr>
            </w:pPr>
            <w:r>
              <w:rPr>
                <w:rFonts w:hint="eastAsia" w:ascii="仿宋_GB2312" w:hAnsiTheme="minorEastAsia" w:cstheme="minorEastAsia"/>
                <w:sz w:val="24"/>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textAlignment w:val="center"/>
              <w:rPr>
                <w:rFonts w:ascii="仿宋_GB2312" w:hAnsiTheme="minorEastAsia" w:cstheme="minorEastAsia"/>
                <w:color w:val="000000"/>
                <w:sz w:val="24"/>
              </w:rPr>
            </w:pPr>
            <w:r>
              <w:rPr>
                <w:rFonts w:hint="eastAsia" w:ascii="仿宋_GB2312" w:hAnsiTheme="minorEastAsia" w:cstheme="minorEastAsia"/>
                <w:color w:val="000000"/>
                <w:sz w:val="24"/>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8</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2"/>
                <w:szCs w:val="22"/>
              </w:rPr>
              <w:t>管理制度健全性</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rPr>
            </w:pPr>
            <w:r>
              <w:rPr>
                <w:rFonts w:hint="eastAsia" w:ascii="仿宋_GB2312" w:hAnsiTheme="minorEastAsia" w:cstheme="minorEastAsia"/>
                <w:sz w:val="24"/>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2"/>
                <w:szCs w:val="22"/>
              </w:rPr>
              <w:t>制度执行有效性</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rPr>
            </w:pPr>
            <w:r>
              <w:rPr>
                <w:rFonts w:hint="eastAsia" w:ascii="仿宋_GB2312" w:hAnsiTheme="minorEastAsia" w:cstheme="minorEastAsia"/>
                <w:sz w:val="24"/>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r>
              <w:rPr>
                <w:rFonts w:hint="eastAsia" w:ascii="仿宋_GB2312" w:hAnsiTheme="minorEastAsia" w:cstheme="minorEastAsia"/>
                <w:color w:val="000000"/>
                <w:sz w:val="24"/>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left"/>
              <w:textAlignment w:val="center"/>
              <w:rPr>
                <w:rFonts w:ascii="仿宋_GB2312" w:hAnsiTheme="minorEastAsia" w:cstheme="minorEastAsia"/>
                <w:color w:val="000000"/>
                <w:sz w:val="24"/>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r>
    </w:tbl>
    <w:p>
      <w:pPr>
        <w:pStyle w:val="4"/>
        <w:numPr>
          <w:ilvl w:val="0"/>
          <w:numId w:val="6"/>
        </w:numPr>
        <w:ind w:firstLine="643"/>
      </w:pPr>
      <w:r>
        <w:rPr>
          <w:rFonts w:hint="eastAsia"/>
        </w:rPr>
        <w:t>项目产出情况</w:t>
      </w:r>
    </w:p>
    <w:p>
      <w:pPr>
        <w:ind w:firstLine="560"/>
        <w:rPr>
          <w:color w:val="000000"/>
          <w:u w:color="000000"/>
          <w:lang w:val="zh-TW" w:eastAsia="zh-TW"/>
        </w:rPr>
      </w:pPr>
      <w:r>
        <w:rPr>
          <w:rFonts w:hint="eastAsia"/>
          <w:color w:val="000000"/>
          <w:u w:color="000000"/>
          <w:lang w:val="zh-TW" w:eastAsia="zh-TW"/>
        </w:rPr>
        <w:t>项目</w:t>
      </w:r>
      <w:r>
        <w:rPr>
          <w:rFonts w:hint="eastAsia" w:ascii="仿宋_GB2312"/>
        </w:rPr>
        <w:t>产出</w:t>
      </w:r>
      <w:r>
        <w:rPr>
          <w:rFonts w:hint="eastAsia"/>
          <w:color w:val="000000"/>
          <w:u w:color="000000"/>
          <w:lang w:val="zh-TW" w:eastAsia="zh-TW"/>
        </w:rPr>
        <w:t>类指标由</w:t>
      </w:r>
      <w:r>
        <w:rPr>
          <w:rFonts w:hint="eastAsia"/>
          <w:color w:val="000000"/>
          <w:u w:color="000000"/>
        </w:rPr>
        <w:t>4</w:t>
      </w:r>
      <w:r>
        <w:rPr>
          <w:rFonts w:hint="eastAsia"/>
          <w:color w:val="000000"/>
          <w:u w:color="000000"/>
          <w:lang w:val="zh-TW" w:eastAsia="zh-TW"/>
        </w:rPr>
        <w:t>个</w:t>
      </w:r>
      <w:r>
        <w:rPr>
          <w:rFonts w:hint="eastAsia"/>
          <w:color w:val="000000"/>
          <w:u w:color="000000"/>
          <w:lang w:val="zh-TW"/>
        </w:rPr>
        <w:t>二</w:t>
      </w:r>
      <w:r>
        <w:rPr>
          <w:rFonts w:hint="eastAsia"/>
          <w:color w:val="000000"/>
          <w:u w:color="000000"/>
          <w:lang w:val="zh-TW" w:eastAsia="zh-TW"/>
        </w:rPr>
        <w:t>级指标和</w:t>
      </w:r>
      <w:r>
        <w:rPr>
          <w:rFonts w:hint="eastAsia"/>
          <w:color w:val="000000"/>
          <w:u w:color="000000"/>
        </w:rPr>
        <w:t>5</w:t>
      </w:r>
      <w:r>
        <w:rPr>
          <w:rFonts w:hint="eastAsia"/>
          <w:color w:val="000000"/>
          <w:u w:color="000000"/>
          <w:lang w:val="zh-TW" w:eastAsia="zh-TW"/>
        </w:rPr>
        <w:t>个</w:t>
      </w:r>
      <w:r>
        <w:rPr>
          <w:rFonts w:hint="eastAsia"/>
          <w:color w:val="000000"/>
          <w:u w:color="000000"/>
        </w:rPr>
        <w:t>三</w:t>
      </w:r>
      <w:r>
        <w:rPr>
          <w:rFonts w:hint="eastAsia"/>
          <w:color w:val="000000"/>
          <w:u w:color="000000"/>
          <w:lang w:val="zh-TW" w:eastAsia="zh-TW"/>
        </w:rPr>
        <w:t>级指标构成，权重分</w:t>
      </w:r>
      <w:r>
        <w:rPr>
          <w:rFonts w:hint="eastAsia"/>
          <w:color w:val="000000"/>
          <w:u w:color="000000"/>
        </w:rPr>
        <w:t>30</w:t>
      </w:r>
      <w:r>
        <w:rPr>
          <w:rFonts w:hint="eastAsia"/>
          <w:color w:val="000000"/>
          <w:u w:color="000000"/>
          <w:lang w:val="zh-TW" w:eastAsia="zh-TW"/>
        </w:rPr>
        <w:t>分，实际得分</w:t>
      </w:r>
      <w:r>
        <w:rPr>
          <w:rFonts w:hint="eastAsia"/>
          <w:color w:val="000000"/>
          <w:u w:color="000000"/>
        </w:rPr>
        <w:t>30</w:t>
      </w:r>
      <w:r>
        <w:rPr>
          <w:rFonts w:hint="eastAsia"/>
          <w:color w:val="000000"/>
          <w:u w:color="000000"/>
          <w:lang w:val="zh-TW" w:eastAsia="zh-TW"/>
        </w:rPr>
        <w:t>分</w:t>
      </w:r>
      <w:r>
        <w:rPr>
          <w:rFonts w:hint="eastAsia"/>
          <w:color w:val="000000"/>
          <w:u w:color="000000"/>
          <w:lang w:val="zh-TW"/>
        </w:rPr>
        <w:t>，</w:t>
      </w:r>
      <w:r>
        <w:rPr>
          <w:rFonts w:hint="eastAsia"/>
          <w:color w:val="000000"/>
          <w:u w:color="000000"/>
          <w:lang w:val="zh-TW" w:eastAsia="zh-TW"/>
        </w:rPr>
        <w:t>各指标业绩值和绩效分值如表</w:t>
      </w:r>
      <w:r>
        <w:rPr>
          <w:rFonts w:hint="eastAsia"/>
          <w:color w:val="000000"/>
          <w:u w:color="000000"/>
        </w:rPr>
        <w:t>4</w:t>
      </w:r>
      <w:r>
        <w:rPr>
          <w:color w:val="000000"/>
          <w:u w:color="000000"/>
        </w:rPr>
        <w:t>-</w:t>
      </w:r>
      <w:r>
        <w:rPr>
          <w:rFonts w:hint="eastAsia"/>
          <w:color w:val="000000"/>
          <w:u w:color="000000"/>
        </w:rPr>
        <w:t>3</w:t>
      </w:r>
      <w:r>
        <w:rPr>
          <w:rFonts w:hint="eastAsia"/>
          <w:color w:val="000000"/>
          <w:u w:color="000000"/>
          <w:lang w:val="zh-TW" w:eastAsia="zh-TW"/>
        </w:rPr>
        <w:t>所示：</w:t>
      </w:r>
    </w:p>
    <w:p>
      <w:pPr>
        <w:keepNext/>
        <w:keepLines/>
        <w:ind w:firstLine="562"/>
        <w:jc w:val="center"/>
        <w:rPr>
          <w:rFonts w:ascii="仿宋_GB2312" w:hAnsi="仿宋_GB2312" w:cs="仿宋_GB2312"/>
          <w:b/>
          <w:bCs/>
        </w:rPr>
      </w:pPr>
      <w:r>
        <w:rPr>
          <w:rFonts w:hint="eastAsia" w:ascii="仿宋_GB2312" w:hAnsi="仿宋_GB2312" w:cs="仿宋_GB2312"/>
          <w:b/>
          <w:bCs/>
          <w:color w:val="000000"/>
          <w:u w:color="000000"/>
          <w:lang w:val="zh-TW" w:eastAsia="zh-TW"/>
        </w:rPr>
        <w:t>表</w:t>
      </w:r>
      <w:r>
        <w:rPr>
          <w:rFonts w:hint="eastAsia" w:ascii="仿宋_GB2312" w:hAnsi="仿宋_GB2312" w:cs="仿宋_GB2312"/>
          <w:b/>
          <w:bCs/>
          <w:color w:val="000000"/>
          <w:u w:color="000000"/>
        </w:rPr>
        <w:t>4-3</w:t>
      </w:r>
      <w:r>
        <w:rPr>
          <w:rFonts w:hint="eastAsia" w:ascii="仿宋_GB2312" w:hAnsi="仿宋_GB2312" w:cs="仿宋_GB2312"/>
          <w:b/>
          <w:bCs/>
        </w:rPr>
        <w:t>项目产出</w:t>
      </w:r>
      <w:r>
        <w:rPr>
          <w:rFonts w:hint="eastAsia" w:ascii="仿宋_GB2312" w:hAnsi="仿宋_GB2312" w:cs="仿宋_GB2312"/>
          <w:b/>
          <w:bCs/>
          <w:color w:val="000000"/>
          <w:u w:color="000000"/>
          <w:lang w:val="zh-TW" w:eastAsia="zh-TW"/>
        </w:rPr>
        <w:t>指标及分值</w:t>
      </w:r>
      <w:r>
        <w:rPr>
          <w:rFonts w:hint="eastAsia" w:ascii="仿宋_GB2312" w:hAnsi="仿宋_GB2312" w:cs="仿宋_GB2312"/>
          <w:b/>
          <w:bCs/>
          <w:color w:val="000000"/>
          <w:u w:color="000000"/>
        </w:rPr>
        <w:t>情况</w:t>
      </w:r>
    </w:p>
    <w:tbl>
      <w:tblPr>
        <w:tblStyle w:val="9"/>
        <w:tblW w:w="8869" w:type="dxa"/>
        <w:tblInd w:w="0" w:type="dxa"/>
        <w:tblLayout w:type="fixed"/>
        <w:tblCellMar>
          <w:top w:w="0" w:type="dxa"/>
          <w:left w:w="0" w:type="dxa"/>
          <w:bottom w:w="0" w:type="dxa"/>
          <w:right w:w="0" w:type="dxa"/>
        </w:tblCellMar>
      </w:tblPr>
      <w:tblGrid>
        <w:gridCol w:w="834"/>
        <w:gridCol w:w="990"/>
        <w:gridCol w:w="2399"/>
        <w:gridCol w:w="1357"/>
        <w:gridCol w:w="1170"/>
        <w:gridCol w:w="922"/>
        <w:gridCol w:w="502"/>
        <w:gridCol w:w="695"/>
      </w:tblGrid>
      <w:tr>
        <w:tblPrEx>
          <w:tblCellMar>
            <w:top w:w="0" w:type="dxa"/>
            <w:left w:w="0" w:type="dxa"/>
            <w:bottom w:w="0" w:type="dxa"/>
            <w:right w:w="0" w:type="dxa"/>
          </w:tblCellMar>
        </w:tblPrEx>
        <w:trPr>
          <w:trHeight w:val="23" w:hRule="atLeast"/>
        </w:trPr>
        <w:tc>
          <w:tcPr>
            <w:tcW w:w="8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一级指标</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二级指标</w:t>
            </w:r>
          </w:p>
        </w:tc>
        <w:tc>
          <w:tcPr>
            <w:tcW w:w="23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三级指标</w:t>
            </w:r>
          </w:p>
        </w:tc>
        <w:tc>
          <w:tcPr>
            <w:tcW w:w="13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年度指标值</w:t>
            </w:r>
          </w:p>
        </w:tc>
        <w:tc>
          <w:tcPr>
            <w:tcW w:w="11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标杆分值</w:t>
            </w:r>
          </w:p>
        </w:tc>
        <w:tc>
          <w:tcPr>
            <w:tcW w:w="9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全年实际完成值</w:t>
            </w:r>
          </w:p>
        </w:tc>
        <w:tc>
          <w:tcPr>
            <w:tcW w:w="5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指标得分</w:t>
            </w:r>
          </w:p>
        </w:tc>
        <w:tc>
          <w:tcPr>
            <w:tcW w:w="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备注</w:t>
            </w:r>
          </w:p>
        </w:tc>
      </w:tr>
      <w:tr>
        <w:tblPrEx>
          <w:tblCellMar>
            <w:top w:w="0" w:type="dxa"/>
            <w:left w:w="0" w:type="dxa"/>
            <w:bottom w:w="0" w:type="dxa"/>
            <w:right w:w="0" w:type="dxa"/>
          </w:tblCellMar>
        </w:tblPrEx>
        <w:trPr>
          <w:trHeight w:val="23"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产出</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数量指标</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租用车辆数量</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≥50辆</w:t>
            </w: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58辆</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6</w:t>
            </w:r>
          </w:p>
        </w:tc>
        <w:tc>
          <w:tcPr>
            <w:tcW w:w="50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6</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搬迁工人数量</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≥100人</w:t>
            </w: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100人</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6</w:t>
            </w:r>
          </w:p>
        </w:tc>
        <w:tc>
          <w:tcPr>
            <w:tcW w:w="50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6</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质量指标</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资金支付合规率</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100%</w:t>
            </w: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100%</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6</w:t>
            </w:r>
          </w:p>
        </w:tc>
        <w:tc>
          <w:tcPr>
            <w:tcW w:w="50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6</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时效指标</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资金拨付及时率</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100%</w:t>
            </w: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100%</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6</w:t>
            </w:r>
          </w:p>
        </w:tc>
        <w:tc>
          <w:tcPr>
            <w:tcW w:w="50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6</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成本指标</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学院新校区迁建经费</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3530000元</w:t>
            </w: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3530000元</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6</w:t>
            </w:r>
          </w:p>
        </w:tc>
        <w:tc>
          <w:tcPr>
            <w:tcW w:w="50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6</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558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合计</w:t>
            </w: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30</w:t>
            </w:r>
          </w:p>
        </w:tc>
        <w:tc>
          <w:tcPr>
            <w:tcW w:w="50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30</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bl>
    <w:p>
      <w:pPr>
        <w:pStyle w:val="4"/>
        <w:numPr>
          <w:ilvl w:val="0"/>
          <w:numId w:val="6"/>
        </w:numPr>
        <w:ind w:firstLine="643"/>
      </w:pPr>
      <w:r>
        <w:rPr>
          <w:rFonts w:hint="eastAsia"/>
        </w:rPr>
        <w:t>项目效益情况</w:t>
      </w:r>
    </w:p>
    <w:p>
      <w:pPr>
        <w:ind w:firstLine="560"/>
        <w:rPr>
          <w:color w:val="000000"/>
          <w:u w:color="000000"/>
          <w:lang w:val="zh-TW" w:eastAsia="zh-TW"/>
        </w:rPr>
      </w:pPr>
      <w:r>
        <w:rPr>
          <w:rFonts w:hint="eastAsia"/>
          <w:color w:val="000000"/>
          <w:u w:color="000000"/>
          <w:lang w:val="zh-TW" w:eastAsia="zh-TW"/>
        </w:rPr>
        <w:t>项目效益类指标由</w:t>
      </w:r>
      <w:r>
        <w:rPr>
          <w:rFonts w:hint="eastAsia"/>
          <w:color w:val="000000"/>
          <w:u w:color="000000"/>
        </w:rPr>
        <w:t>3</w:t>
      </w:r>
      <w:r>
        <w:rPr>
          <w:rFonts w:hint="eastAsia"/>
          <w:color w:val="000000"/>
          <w:u w:color="000000"/>
          <w:lang w:val="zh-TW" w:eastAsia="zh-TW"/>
        </w:rPr>
        <w:t>个</w:t>
      </w:r>
      <w:r>
        <w:rPr>
          <w:rFonts w:hint="eastAsia"/>
          <w:color w:val="000000"/>
          <w:u w:color="000000"/>
          <w:lang w:val="zh-TW"/>
        </w:rPr>
        <w:t>二</w:t>
      </w:r>
      <w:r>
        <w:rPr>
          <w:rFonts w:hint="eastAsia"/>
          <w:color w:val="000000"/>
          <w:u w:color="000000"/>
          <w:lang w:val="zh-TW" w:eastAsia="zh-TW"/>
        </w:rPr>
        <w:t>级指标和</w:t>
      </w:r>
      <w:r>
        <w:rPr>
          <w:rFonts w:hint="eastAsia"/>
          <w:color w:val="000000"/>
          <w:u w:color="000000"/>
        </w:rPr>
        <w:t>3</w:t>
      </w:r>
      <w:r>
        <w:rPr>
          <w:rFonts w:hint="eastAsia"/>
          <w:color w:val="000000"/>
          <w:u w:color="000000"/>
          <w:lang w:val="zh-TW" w:eastAsia="zh-TW"/>
        </w:rPr>
        <w:t>个</w:t>
      </w:r>
      <w:r>
        <w:rPr>
          <w:rFonts w:hint="eastAsia"/>
          <w:color w:val="000000"/>
          <w:u w:color="000000"/>
        </w:rPr>
        <w:t>三</w:t>
      </w:r>
      <w:r>
        <w:rPr>
          <w:rFonts w:hint="eastAsia"/>
          <w:color w:val="000000"/>
          <w:u w:color="000000"/>
          <w:lang w:val="zh-TW" w:eastAsia="zh-TW"/>
        </w:rPr>
        <w:t>级指标构成，权重分</w:t>
      </w:r>
      <w:r>
        <w:rPr>
          <w:rFonts w:hint="eastAsia"/>
          <w:color w:val="000000"/>
          <w:u w:color="000000"/>
        </w:rPr>
        <w:t>30</w:t>
      </w:r>
      <w:r>
        <w:rPr>
          <w:rFonts w:hint="eastAsia"/>
          <w:color w:val="000000"/>
          <w:u w:color="000000"/>
          <w:lang w:val="zh-TW" w:eastAsia="zh-TW"/>
        </w:rPr>
        <w:t>分，实际得分</w:t>
      </w:r>
      <w:r>
        <w:rPr>
          <w:rFonts w:hint="eastAsia"/>
          <w:color w:val="000000"/>
          <w:u w:color="000000"/>
        </w:rPr>
        <w:t>30</w:t>
      </w:r>
      <w:r>
        <w:rPr>
          <w:rFonts w:hint="eastAsia"/>
          <w:color w:val="000000"/>
          <w:u w:color="000000"/>
          <w:lang w:val="zh-TW" w:eastAsia="zh-TW"/>
        </w:rPr>
        <w:t>分</w:t>
      </w:r>
      <w:r>
        <w:rPr>
          <w:rFonts w:hint="eastAsia"/>
          <w:color w:val="000000"/>
          <w:u w:color="000000"/>
          <w:lang w:val="zh-TW"/>
        </w:rPr>
        <w:t>，</w:t>
      </w:r>
      <w:r>
        <w:rPr>
          <w:rFonts w:hint="eastAsia"/>
          <w:color w:val="000000"/>
          <w:u w:color="000000"/>
          <w:lang w:val="zh-TW" w:eastAsia="zh-TW"/>
        </w:rPr>
        <w:t>各指标业绩值和绩效分值如表</w:t>
      </w:r>
      <w:r>
        <w:rPr>
          <w:rFonts w:hint="eastAsia"/>
          <w:color w:val="000000"/>
          <w:u w:color="000000"/>
        </w:rPr>
        <w:t>4</w:t>
      </w:r>
      <w:r>
        <w:rPr>
          <w:color w:val="000000"/>
          <w:u w:color="000000"/>
        </w:rPr>
        <w:t>-</w:t>
      </w:r>
      <w:r>
        <w:rPr>
          <w:rFonts w:hint="eastAsia"/>
          <w:color w:val="000000"/>
          <w:u w:color="000000"/>
        </w:rPr>
        <w:t>3</w:t>
      </w:r>
      <w:r>
        <w:rPr>
          <w:rFonts w:hint="eastAsia"/>
          <w:color w:val="000000"/>
          <w:u w:color="000000"/>
          <w:lang w:val="zh-TW" w:eastAsia="zh-TW"/>
        </w:rPr>
        <w:t>所示：</w:t>
      </w:r>
    </w:p>
    <w:p>
      <w:pPr>
        <w:keepNext/>
        <w:keepLines/>
        <w:ind w:firstLine="562"/>
        <w:jc w:val="center"/>
      </w:pPr>
      <w:r>
        <w:rPr>
          <w:rFonts w:hint="eastAsia" w:ascii="仿宋_GB2312" w:hAnsi="仿宋_GB2312" w:cs="仿宋_GB2312"/>
          <w:b/>
          <w:bCs/>
          <w:color w:val="000000"/>
          <w:u w:color="000000"/>
          <w:lang w:val="zh-TW" w:eastAsia="zh-TW"/>
        </w:rPr>
        <w:t>表</w:t>
      </w:r>
      <w:r>
        <w:rPr>
          <w:rFonts w:hint="eastAsia" w:ascii="仿宋_GB2312" w:hAnsi="仿宋_GB2312" w:cs="仿宋_GB2312"/>
          <w:b/>
          <w:bCs/>
          <w:color w:val="000000"/>
          <w:u w:color="000000"/>
        </w:rPr>
        <w:t>4-4</w:t>
      </w:r>
      <w:r>
        <w:rPr>
          <w:rFonts w:hint="eastAsia" w:ascii="仿宋_GB2312" w:hAnsi="仿宋_GB2312" w:cs="仿宋_GB2312"/>
          <w:b/>
          <w:bCs/>
        </w:rPr>
        <w:t>项目效益</w:t>
      </w:r>
      <w:r>
        <w:rPr>
          <w:rFonts w:hint="eastAsia" w:ascii="仿宋_GB2312" w:hAnsi="仿宋_GB2312" w:cs="仿宋_GB2312"/>
          <w:b/>
          <w:bCs/>
          <w:color w:val="000000"/>
          <w:u w:color="000000"/>
          <w:lang w:val="zh-TW" w:eastAsia="zh-TW"/>
        </w:rPr>
        <w:t>指标及分值</w:t>
      </w:r>
      <w:r>
        <w:rPr>
          <w:rFonts w:hint="eastAsia" w:ascii="仿宋_GB2312" w:hAnsi="仿宋_GB2312" w:cs="仿宋_GB2312"/>
          <w:b/>
          <w:bCs/>
          <w:color w:val="000000"/>
          <w:u w:color="000000"/>
        </w:rPr>
        <w:t>情况</w:t>
      </w:r>
    </w:p>
    <w:tbl>
      <w:tblPr>
        <w:tblStyle w:val="9"/>
        <w:tblW w:w="9137" w:type="dxa"/>
        <w:tblInd w:w="0" w:type="dxa"/>
        <w:tblLayout w:type="fixed"/>
        <w:tblCellMar>
          <w:top w:w="0" w:type="dxa"/>
          <w:left w:w="0" w:type="dxa"/>
          <w:bottom w:w="0" w:type="dxa"/>
          <w:right w:w="0" w:type="dxa"/>
        </w:tblCellMar>
      </w:tblPr>
      <w:tblGrid>
        <w:gridCol w:w="838"/>
        <w:gridCol w:w="1116"/>
        <w:gridCol w:w="3211"/>
        <w:gridCol w:w="1110"/>
        <w:gridCol w:w="600"/>
        <w:gridCol w:w="996"/>
        <w:gridCol w:w="566"/>
        <w:gridCol w:w="700"/>
      </w:tblGrid>
      <w:tr>
        <w:tblPrEx>
          <w:tblCellMar>
            <w:top w:w="0" w:type="dxa"/>
            <w:left w:w="0" w:type="dxa"/>
            <w:bottom w:w="0" w:type="dxa"/>
            <w:right w:w="0" w:type="dxa"/>
          </w:tblCellMar>
        </w:tblPrEx>
        <w:trPr>
          <w:trHeight w:val="23" w:hRule="atLeast"/>
        </w:trPr>
        <w:tc>
          <w:tcPr>
            <w:tcW w:w="83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一级指标</w:t>
            </w:r>
          </w:p>
        </w:tc>
        <w:tc>
          <w:tcPr>
            <w:tcW w:w="11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二级指标</w:t>
            </w:r>
          </w:p>
        </w:tc>
        <w:tc>
          <w:tcPr>
            <w:tcW w:w="32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三级指标</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年度指标值</w:t>
            </w:r>
          </w:p>
        </w:tc>
        <w:tc>
          <w:tcPr>
            <w:tcW w:w="6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标杆分值</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全年实际完成值</w:t>
            </w:r>
          </w:p>
        </w:tc>
        <w:tc>
          <w:tcPr>
            <w:tcW w:w="5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指标得分</w:t>
            </w:r>
          </w:p>
        </w:tc>
        <w:tc>
          <w:tcPr>
            <w:tcW w:w="7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备注</w:t>
            </w:r>
          </w:p>
        </w:tc>
      </w:tr>
      <w:tr>
        <w:tblPrEx>
          <w:tblCellMar>
            <w:top w:w="0" w:type="dxa"/>
            <w:left w:w="0" w:type="dxa"/>
            <w:bottom w:w="0" w:type="dxa"/>
            <w:right w:w="0" w:type="dxa"/>
          </w:tblCellMar>
        </w:tblPrEx>
        <w:trPr>
          <w:trHeight w:val="23" w:hRule="atLeast"/>
        </w:trPr>
        <w:tc>
          <w:tcPr>
            <w:tcW w:w="83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效益</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经济效益指标</w:t>
            </w:r>
          </w:p>
        </w:tc>
        <w:tc>
          <w:tcPr>
            <w:tcW w:w="32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32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社会效益指标</w:t>
            </w:r>
          </w:p>
        </w:tc>
        <w:tc>
          <w:tcPr>
            <w:tcW w:w="32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校区搬迁对市区功能区优化影响</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明显提升</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90%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32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生态效益指标</w:t>
            </w:r>
          </w:p>
        </w:tc>
        <w:tc>
          <w:tcPr>
            <w:tcW w:w="32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32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可持续影响指标</w:t>
            </w:r>
          </w:p>
        </w:tc>
        <w:tc>
          <w:tcPr>
            <w:tcW w:w="32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保障职业教育有序健康发展</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长期保障</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90%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32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满意度指标</w:t>
            </w:r>
          </w:p>
        </w:tc>
        <w:tc>
          <w:tcPr>
            <w:tcW w:w="32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搬迁雇佣人员满意度</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≥90%</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90%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62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合计</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30</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30</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bl>
    <w:p>
      <w:pPr>
        <w:pStyle w:val="3"/>
        <w:ind w:firstLine="640"/>
      </w:pPr>
      <w:r>
        <w:rPr>
          <w:rFonts w:hint="eastAsia"/>
        </w:rPr>
        <w:t>五、主要经验及做法、存在的问题及原因分析</w:t>
      </w:r>
    </w:p>
    <w:p>
      <w:pPr>
        <w:pStyle w:val="4"/>
        <w:numPr>
          <w:ilvl w:val="0"/>
          <w:numId w:val="7"/>
        </w:numPr>
        <w:ind w:firstLine="643"/>
      </w:pPr>
      <w:bookmarkStart w:id="12" w:name="_Toc1921"/>
      <w:bookmarkStart w:id="13" w:name="_Toc28290"/>
      <w:r>
        <w:rPr>
          <w:rFonts w:hint="eastAsia"/>
        </w:rPr>
        <w:t>主要经验及做法</w:t>
      </w:r>
    </w:p>
    <w:p>
      <w:pPr>
        <w:ind w:firstLine="560"/>
      </w:pPr>
      <w:r>
        <w:rPr>
          <w:rFonts w:hint="eastAsia"/>
        </w:rPr>
        <w:t>成立项目实施小组，周密制定有关搬迁计划工作。认真做好学校校资产的清理，落实好搬迁的工作人员和车辆，采购搬迁需要的一切物品工作。在搬迁过程中合理组织和指导各处室，各部门的搬迁工作。搬迁完成后组织人员落实搬迁后的各项检查。</w:t>
      </w:r>
    </w:p>
    <w:bookmarkEnd w:id="12"/>
    <w:bookmarkEnd w:id="13"/>
    <w:p>
      <w:pPr>
        <w:pStyle w:val="4"/>
        <w:numPr>
          <w:ilvl w:val="0"/>
          <w:numId w:val="7"/>
        </w:numPr>
        <w:ind w:firstLine="643"/>
      </w:pPr>
      <w:r>
        <w:rPr>
          <w:rFonts w:hint="eastAsia"/>
        </w:rPr>
        <w:t>存在的问题及原因分析</w:t>
      </w:r>
    </w:p>
    <w:p>
      <w:pPr>
        <w:ind w:firstLine="560"/>
      </w:pPr>
      <w:r>
        <w:rPr>
          <w:rFonts w:hint="eastAsia"/>
        </w:rPr>
        <w:t>无存在的问题。</w:t>
      </w:r>
    </w:p>
    <w:p>
      <w:pPr>
        <w:pStyle w:val="3"/>
        <w:ind w:firstLine="640"/>
      </w:pPr>
      <w:r>
        <w:rPr>
          <w:rFonts w:hint="eastAsia"/>
        </w:rPr>
        <w:t>六、有关建议</w:t>
      </w:r>
    </w:p>
    <w:p>
      <w:pPr>
        <w:ind w:firstLine="560"/>
      </w:pPr>
      <w:r>
        <w:rPr>
          <w:rFonts w:hint="eastAsia"/>
        </w:rPr>
        <w:t>无建议。</w:t>
      </w:r>
    </w:p>
    <w:p>
      <w:pPr>
        <w:pStyle w:val="3"/>
        <w:ind w:firstLine="640"/>
      </w:pPr>
      <w:r>
        <w:rPr>
          <w:rFonts w:hint="eastAsia"/>
        </w:rPr>
        <w:t>七、其他需要说明的问题</w:t>
      </w:r>
    </w:p>
    <w:p>
      <w:pPr>
        <w:ind w:firstLine="560"/>
      </w:pPr>
      <w:r>
        <w:rPr>
          <w:rFonts w:hint="eastAsia"/>
        </w:rPr>
        <w:t>无其他说明内容。</w:t>
      </w:r>
    </w:p>
    <w:p>
      <w:pPr>
        <w:pStyle w:val="3"/>
        <w:ind w:firstLine="640"/>
      </w:pPr>
      <w:r>
        <w:rPr>
          <w:rFonts w:hint="eastAsia"/>
        </w:rPr>
        <w:t>八、附表</w:t>
      </w:r>
    </w:p>
    <w:p>
      <w:pPr>
        <w:ind w:firstLine="560"/>
      </w:pPr>
      <w:r>
        <w:rPr>
          <w:rFonts w:hint="eastAsia"/>
        </w:rPr>
        <w:t>1.绩效评价体系-共性指标</w:t>
      </w:r>
    </w:p>
    <w:p>
      <w:pPr>
        <w:ind w:firstLine="560"/>
      </w:pPr>
      <w:r>
        <w:rPr>
          <w:rFonts w:hint="eastAsia"/>
        </w:rPr>
        <w:t>2.绩效评价体系-个性指标</w:t>
      </w:r>
    </w:p>
    <w:sectPr>
      <w:footerReference r:id="rId9" w:type="default"/>
      <w:pgSz w:w="11906" w:h="16838"/>
      <w:pgMar w:top="1928"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楷体">
    <w:altName w:val="楷体_GB2312"/>
    <w:panose1 w:val="02010609060101010101"/>
    <w:charset w:val="86"/>
    <w:family w:val="modern"/>
    <w:pitch w:val="default"/>
    <w:sig w:usb0="00000000" w:usb1="00000000" w:usb2="00000016" w:usb3="00000000" w:csb0="00040001"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w:pict>
        <v:shape id="_x0000_s2050" o:spid="_x0000_s2050"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7"/>
                  <w:ind w:firstLine="360"/>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17"/>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abstractNum w:abstractNumId="6">
    <w:nsid w:val="48801E41"/>
    <w:multiLevelType w:val="singleLevel"/>
    <w:tmpl w:val="48801E41"/>
    <w:lvl w:ilvl="0" w:tentative="0">
      <w:start w:val="1"/>
      <w:numFmt w:val="chineseCounting"/>
      <w:suff w:val="nothing"/>
      <w:lvlText w:val="（%1）"/>
      <w:lvlJc w:val="left"/>
      <w:pPr>
        <w:ind w:left="0" w:firstLine="420"/>
      </w:pPr>
      <w:rPr>
        <w:rFonts w:hint="eastAsia"/>
      </w:rPr>
    </w:lvl>
  </w:abstractNum>
  <w:num w:numId="1">
    <w:abstractNumId w:val="4"/>
  </w:num>
  <w:num w:numId="2">
    <w:abstractNumId w:val="0"/>
  </w:num>
  <w:num w:numId="3">
    <w:abstractNumId w:val="1"/>
  </w:num>
  <w:num w:numId="4">
    <w:abstractNumId w:val="3"/>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68291A1A"/>
    <w:rsid w:val="00004DD3"/>
    <w:rsid w:val="000D1E4F"/>
    <w:rsid w:val="0015505A"/>
    <w:rsid w:val="00175A91"/>
    <w:rsid w:val="00191CF1"/>
    <w:rsid w:val="001E2EBD"/>
    <w:rsid w:val="00210D91"/>
    <w:rsid w:val="00257279"/>
    <w:rsid w:val="003E71FF"/>
    <w:rsid w:val="003F37F5"/>
    <w:rsid w:val="003F78AC"/>
    <w:rsid w:val="0043100D"/>
    <w:rsid w:val="00527AEB"/>
    <w:rsid w:val="005B6D8D"/>
    <w:rsid w:val="006B1BC0"/>
    <w:rsid w:val="00897023"/>
    <w:rsid w:val="00946749"/>
    <w:rsid w:val="00A35C60"/>
    <w:rsid w:val="00A43CB1"/>
    <w:rsid w:val="00A4537C"/>
    <w:rsid w:val="00AC6871"/>
    <w:rsid w:val="00B2498B"/>
    <w:rsid w:val="00B33863"/>
    <w:rsid w:val="00B43A9E"/>
    <w:rsid w:val="00BE147A"/>
    <w:rsid w:val="00BE687E"/>
    <w:rsid w:val="00C25CFD"/>
    <w:rsid w:val="00D50808"/>
    <w:rsid w:val="00DF59B3"/>
    <w:rsid w:val="00E1703B"/>
    <w:rsid w:val="00E96A1B"/>
    <w:rsid w:val="00FB009C"/>
    <w:rsid w:val="09972AEA"/>
    <w:rsid w:val="0F880E09"/>
    <w:rsid w:val="0FC51C4C"/>
    <w:rsid w:val="129611C4"/>
    <w:rsid w:val="12F1313F"/>
    <w:rsid w:val="1A270A51"/>
    <w:rsid w:val="21C61654"/>
    <w:rsid w:val="245E1E24"/>
    <w:rsid w:val="2BD54D79"/>
    <w:rsid w:val="2E483E7E"/>
    <w:rsid w:val="2E9C7018"/>
    <w:rsid w:val="33944516"/>
    <w:rsid w:val="35CA0065"/>
    <w:rsid w:val="46B75745"/>
    <w:rsid w:val="46EE4DA0"/>
    <w:rsid w:val="47841C90"/>
    <w:rsid w:val="52971007"/>
    <w:rsid w:val="68291A1A"/>
    <w:rsid w:val="691B1594"/>
    <w:rsid w:val="699F4AD3"/>
    <w:rsid w:val="6F0D6C22"/>
    <w:rsid w:val="74C23A96"/>
    <w:rsid w:val="76D2301A"/>
    <w:rsid w:val="77861774"/>
    <w:rsid w:val="79300B45"/>
    <w:rsid w:val="79B35AA0"/>
    <w:rsid w:val="7B095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alloon Text"/>
    <w:basedOn w:val="1"/>
    <w:link w:val="15"/>
    <w:qFormat/>
    <w:uiPriority w:val="0"/>
    <w:pPr>
      <w:spacing w:line="240" w:lineRule="auto"/>
    </w:pPr>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bCs/>
    </w:rPr>
  </w:style>
  <w:style w:type="character" w:styleId="13">
    <w:name w:val="annotation reference"/>
    <w:basedOn w:val="11"/>
    <w:qFormat/>
    <w:uiPriority w:val="0"/>
    <w:rPr>
      <w:sz w:val="21"/>
      <w:szCs w:val="21"/>
    </w:rPr>
  </w:style>
  <w:style w:type="paragraph" w:customStyle="1" w:styleId="14">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5">
    <w:name w:val="批注框文本 字符"/>
    <w:basedOn w:val="11"/>
    <w:link w:val="6"/>
    <w:qFormat/>
    <w:uiPriority w:val="0"/>
    <w:rPr>
      <w:rFonts w:eastAsia="仿宋_GB2312"/>
      <w:kern w:val="2"/>
      <w:sz w:val="18"/>
      <w:szCs w:val="18"/>
    </w:rPr>
  </w:style>
  <w:style w:type="paragraph" w:styleId="16">
    <w:name w:val="List Paragraph"/>
    <w:basedOn w:val="1"/>
    <w:unhideWhenUsed/>
    <w:qFormat/>
    <w:uiPriority w:val="99"/>
    <w:pPr>
      <w:ind w:firstLine="420"/>
    </w:pPr>
  </w:style>
  <w:style w:type="paragraph" w:customStyle="1" w:styleId="17">
    <w:name w:val="标题2"/>
    <w:basedOn w:val="4"/>
    <w:qFormat/>
    <w:uiPriority w:val="0"/>
    <w:pPr>
      <w:numPr>
        <w:ilvl w:val="0"/>
        <w:numId w:val="1"/>
      </w:numPr>
      <w:spacing w:before="120" w:after="120" w:line="500" w:lineRule="exact"/>
    </w:pPr>
    <w:rPr>
      <w:rFonts w:ascii="仿宋_GB2312" w:eastAsia="仿宋_GB231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1100</Words>
  <Characters>6276</Characters>
  <Lines>52</Lines>
  <Paragraphs>14</Paragraphs>
  <TotalTime>49</TotalTime>
  <ScaleCrop>false</ScaleCrop>
  <LinksUpToDate>false</LinksUpToDate>
  <CharactersWithSpaces>7362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2020-04-08T07:22:00Z</dcterms:created>
  <dc:creator>驰远天合-柴万顺-18690160103</dc:creator>
  <cp:lastModifiedBy>Administrator</cp:lastModifiedBy>
  <dcterms:modified xsi:type="dcterms:W3CDTF">2020-05-26T03:56:08Z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